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75" w:rsidRPr="00451F75" w:rsidRDefault="00451F75" w:rsidP="00451F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1F75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Санкт-Петербург, сохраняя исторически сложившуюся отраслевую структуру и высокий научно-технический потенциал, является одним из центров высокотехнологичных производств мирового уровня, а его географическое положение создает хорошую основу </w:t>
      </w:r>
      <w:r w:rsidRPr="00451F75">
        <w:rPr>
          <w:rFonts w:ascii="Times New Roman" w:hAnsi="Times New Roman"/>
          <w:sz w:val="28"/>
          <w:szCs w:val="28"/>
        </w:rPr>
        <w:br/>
        <w:t>для межрегионального кооперационного сотрудничества. Для многих направлений весь цикл от идеи до внедрения инноваций в серийное производство может быть осуществлен в Санкт-Петербурге, а также передан и тиражирован в других российских регионах.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За последние годы, несмотря на серьезные трудности, городская промышленность сохраняет положительные тенденции развития. Индекс промышленного производства в январе-апреле 2026 года составил 105,0 % к соответствующему периоду 2025 года (в среднем по России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100,7 %). Напомню, по итогам 2025 года индекс промышленного производства в городе составил 105,2%, что на 4 </w:t>
      </w:r>
      <w:proofErr w:type="gramStart"/>
      <w:r w:rsidRPr="00451F75">
        <w:rPr>
          <w:rFonts w:ascii="Times New Roman" w:hAnsi="Times New Roman"/>
          <w:sz w:val="28"/>
          <w:szCs w:val="28"/>
        </w:rPr>
        <w:t>процентных</w:t>
      </w:r>
      <w:proofErr w:type="gramEnd"/>
      <w:r w:rsidRPr="00451F75">
        <w:rPr>
          <w:rFonts w:ascii="Times New Roman" w:hAnsi="Times New Roman"/>
          <w:sz w:val="28"/>
          <w:szCs w:val="28"/>
        </w:rPr>
        <w:t xml:space="preserve"> пункта выше среднего по России.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В этом году наблюдается положительная динамика в высокотехнологичном секторе: в производстве электрического оборудования индекс составил 119,4 %, в производстве лекарственных средств и материалов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114,5 %, в производстве машин и оборудования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103,0 %. 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Вклад промышленного комплекса в формирование доходной части бюджетов всех уровней по сравнению с другими секторами экономики города продолжает стабильно оставаться наибольшим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46,4%.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>В Санкт-Петербурге сосредоточено более 10% научного потенциала страны. В городе действуют свыше 350 научных организаций, в том числе более 60 организаций академической науки, более 250 организаций, занимающихся научными исследованиями и разработками, 12 государственных научных центров, в том числе 5 национальных исследовательских университетов. Растет качество подготовки в петербургских вузах, кардинально меняется среднее профессиональное образование, ориентируясь на подготовку специалистов по новым и наиболее востребованным специальностям.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По итогам 2025 года объем </w:t>
      </w:r>
      <w:proofErr w:type="spellStart"/>
      <w:r w:rsidRPr="00451F75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451F75">
        <w:rPr>
          <w:rFonts w:ascii="Times New Roman" w:hAnsi="Times New Roman"/>
          <w:sz w:val="28"/>
          <w:szCs w:val="28"/>
        </w:rPr>
        <w:t xml:space="preserve"> поддержки технологических компаний Санкт-Петербурга на проекты по </w:t>
      </w:r>
      <w:proofErr w:type="spellStart"/>
      <w:r w:rsidRPr="00451F75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451F75">
        <w:rPr>
          <w:rFonts w:ascii="Times New Roman" w:hAnsi="Times New Roman"/>
          <w:sz w:val="28"/>
          <w:szCs w:val="28"/>
        </w:rPr>
        <w:t xml:space="preserve"> превысил 1,8 млрд. рублей, что на 46,2% больше, чем годом ранее. Общий объем привлеченных средств от двух федеральных институтов развития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Агентства по технологическому развитию и Центра поддержки инжиниринга и инноваций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в 2025 году превысил 3 млрд. рублей. </w:t>
      </w:r>
    </w:p>
    <w:p w:rsidR="00451F75" w:rsidRPr="00451F75" w:rsidRDefault="00451F75" w:rsidP="00451F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При поддержке Правительства Санкт </w:t>
      </w:r>
      <w:proofErr w:type="gramStart"/>
      <w:r w:rsidRPr="00451F75">
        <w:rPr>
          <w:rFonts w:ascii="Times New Roman" w:hAnsi="Times New Roman"/>
          <w:sz w:val="28"/>
          <w:szCs w:val="28"/>
        </w:rPr>
        <w:noBreakHyphen/>
        <w:t>П</w:t>
      </w:r>
      <w:proofErr w:type="gramEnd"/>
      <w:r w:rsidRPr="00451F75">
        <w:rPr>
          <w:rFonts w:ascii="Times New Roman" w:hAnsi="Times New Roman"/>
          <w:sz w:val="28"/>
          <w:szCs w:val="28"/>
        </w:rPr>
        <w:t xml:space="preserve">етербурга предприятия города за два года привлекли более 6 млрд. рублей на реализацию 99 проектов, предусматривающих разработку конструкторской документации на комплектующие изделия, необходимые для отраслей промышленности по </w:t>
      </w:r>
      <w:proofErr w:type="spellStart"/>
      <w:r w:rsidRPr="00451F75">
        <w:rPr>
          <w:rFonts w:ascii="Times New Roman" w:hAnsi="Times New Roman"/>
          <w:sz w:val="28"/>
          <w:szCs w:val="28"/>
        </w:rPr>
        <w:t>грантовым</w:t>
      </w:r>
      <w:proofErr w:type="spellEnd"/>
      <w:r w:rsidRPr="00451F75">
        <w:rPr>
          <w:rFonts w:ascii="Times New Roman" w:hAnsi="Times New Roman"/>
          <w:sz w:val="28"/>
          <w:szCs w:val="28"/>
        </w:rPr>
        <w:t xml:space="preserve"> программам Агентства технологического развития.</w:t>
      </w:r>
    </w:p>
    <w:p w:rsidR="00451F75" w:rsidRPr="00451F75" w:rsidRDefault="00451F75" w:rsidP="00451F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1F75">
        <w:rPr>
          <w:sz w:val="28"/>
          <w:szCs w:val="28"/>
        </w:rPr>
        <w:t xml:space="preserve">Программа «Промышленная политика Санкт-Петербурга до 2030 года», принятая 30 октября 2025 года на совместном заседании президиума Союза промышленников и предпринимателей Санкт-Петербурга, Промышленного и Экспортного советов Санкт-Петербурга, включает ускоренное развитие научно-образовательного и </w:t>
      </w:r>
      <w:proofErr w:type="spellStart"/>
      <w:r w:rsidRPr="00451F75">
        <w:rPr>
          <w:sz w:val="28"/>
          <w:szCs w:val="28"/>
        </w:rPr>
        <w:t>инновационно-производственного</w:t>
      </w:r>
      <w:proofErr w:type="spellEnd"/>
      <w:r w:rsidRPr="00451F75">
        <w:rPr>
          <w:sz w:val="28"/>
          <w:szCs w:val="28"/>
        </w:rPr>
        <w:t xml:space="preserve"> комплекса города. Планируется создание до 30 индустриальных парков и технопарков, создание центра робототехнических технологий «Сириус», а также поддержка новых промышленных предприятий и рабочих мест. В Особой экономической зоне «Санкт-Петербург» успешно функционируют предприятия высокотехнологичных отраслей, включая авиастроение, фармацевтику, микроэлектронику и многие другие. </w:t>
      </w:r>
    </w:p>
    <w:p w:rsidR="00451F75" w:rsidRPr="00451F75" w:rsidRDefault="00451F75" w:rsidP="00451F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51F75">
        <w:rPr>
          <w:sz w:val="28"/>
          <w:szCs w:val="28"/>
        </w:rPr>
        <w:lastRenderedPageBreak/>
        <w:t>Это особенно важно сегодня, так как в мире растут военные траты: на протяжении последних 11 лет оборонные расходы США, составляющие сегодня треть мировых расходов, выросли в полтора раза и в прошлом году достигли почти $1 трлн. К 2027 году эти расходы должны увеличиться еще на 50%. Расходы европейских членов НАТО растут самыми высокими темпами с 1953 года.</w:t>
      </w:r>
      <w:proofErr w:type="gramEnd"/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Сильнее всего в Европе выделяется Германия, где военные расходы выросли за 3 года в 2 раза: можно констатировать, что Германия приступила к переводу экономики на военные рельсы. 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5">
        <w:rPr>
          <w:rFonts w:ascii="Times New Roman" w:hAnsi="Times New Roman"/>
          <w:b/>
          <w:sz w:val="28"/>
          <w:szCs w:val="28"/>
        </w:rPr>
        <w:t>Защита и обеспечение независимости нашей страны – это главная наша с вами задача!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>По многим позициям наш город перестал быть зависимым от зарубежных поставщиков и сам начинает завоевывать новые рынки.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>На прошедшем двадцать девятом Петербургском международном экономическом форуме Санкт-Петербург заключил 74 соглашения на общую сумму 731 млрд. рублей. Среди них 41 инвестиционный договор, которые станут базовыми для развития транспортной инфраструктуры, промышленного сектора, цифровых технологий и логистики.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>На Форуме подведены итоги ежегодного Национального рейтинга состояния инвестиционного климата. Санкт-Петербург занял призовое место, поднявшись с шестого на третье место.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>Уважаемые коллеги!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Безусловно, есть существенные проблемы в российской экономике. Нам необходимо учитывать, что обеспечение технологической независимости, качественное улучшение уровня производства и ускорение социально-экономического развития требуют эффективной координации и совместных действий всех участников этого процесса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администрации города, </w:t>
      </w:r>
      <w:proofErr w:type="spellStart"/>
      <w:proofErr w:type="gramStart"/>
      <w:r w:rsidRPr="00451F75">
        <w:rPr>
          <w:rFonts w:ascii="Times New Roman" w:hAnsi="Times New Roman"/>
          <w:sz w:val="28"/>
          <w:szCs w:val="28"/>
        </w:rPr>
        <w:t>бизнес-сообщества</w:t>
      </w:r>
      <w:proofErr w:type="spellEnd"/>
      <w:proofErr w:type="gramEnd"/>
      <w:r w:rsidRPr="00451F75">
        <w:rPr>
          <w:rFonts w:ascii="Times New Roman" w:hAnsi="Times New Roman"/>
          <w:sz w:val="28"/>
          <w:szCs w:val="28"/>
        </w:rPr>
        <w:t xml:space="preserve"> и трудовых коллективов.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>Нужно действовать на опережение – не просто закрывать внутренние потребности, а создавать продукты, которые смогут превосходить мировые аналоги и формировать фундамент для долгосрочного технологического лидерства.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Поэтому сегодня наша задача обсудить практические меры, направленные </w:t>
      </w:r>
      <w:r w:rsidRPr="00451F75">
        <w:rPr>
          <w:rFonts w:ascii="Times New Roman" w:hAnsi="Times New Roman"/>
          <w:sz w:val="28"/>
          <w:szCs w:val="28"/>
        </w:rPr>
        <w:br/>
        <w:t xml:space="preserve">на расширение применения новых технологий в обеспечение </w:t>
      </w:r>
      <w:proofErr w:type="spellStart"/>
      <w:r w:rsidRPr="00451F75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451F7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51F75">
        <w:rPr>
          <w:rFonts w:ascii="Times New Roman" w:hAnsi="Times New Roman"/>
          <w:sz w:val="28"/>
          <w:szCs w:val="28"/>
        </w:rPr>
        <w:t>импортоопережения</w:t>
      </w:r>
      <w:proofErr w:type="spellEnd"/>
      <w:r w:rsidRPr="00451F75">
        <w:rPr>
          <w:rFonts w:ascii="Times New Roman" w:hAnsi="Times New Roman"/>
          <w:sz w:val="28"/>
          <w:szCs w:val="28"/>
        </w:rPr>
        <w:t>, повышения производительности труда и технологической независимости в рамках реализации «Промышленной политики Санкт-Петербурга на период до 2030 года».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О формах и методах этой работы сегодня расскажет в своём докладе </w:t>
      </w:r>
      <w:r w:rsidRPr="00451F75">
        <w:rPr>
          <w:rFonts w:ascii="Times New Roman" w:eastAsia="Arial Unicode MS" w:hAnsi="Times New Roman"/>
          <w:bCs/>
          <w:iCs/>
          <w:sz w:val="28"/>
          <w:szCs w:val="28"/>
        </w:rPr>
        <w:t xml:space="preserve">Костин Кирилл Леонидович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eastAsia="Arial Unicode MS" w:hAnsi="Times New Roman"/>
          <w:bCs/>
          <w:iCs/>
          <w:sz w:val="28"/>
          <w:szCs w:val="28"/>
        </w:rPr>
        <w:t xml:space="preserve"> начальник управления по развитию сети региональных центров АО «Инженерно-производственные решения».</w:t>
      </w:r>
    </w:p>
    <w:p w:rsidR="00451F75" w:rsidRPr="00451F75" w:rsidRDefault="00451F75" w:rsidP="00451F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5">
        <w:rPr>
          <w:rFonts w:ascii="Times New Roman" w:hAnsi="Times New Roman"/>
          <w:sz w:val="28"/>
          <w:szCs w:val="28"/>
        </w:rPr>
        <w:t xml:space="preserve">Завершая своё вступительное слово, особое внимание рекомендую обратить на подписанный Президентом В.В.Путиным 15 декабря 2025 года Федеральный закон </w:t>
      </w:r>
      <w:r w:rsidRPr="00451F75">
        <w:rPr>
          <w:rFonts w:ascii="Times New Roman" w:hAnsi="Times New Roman"/>
          <w:sz w:val="28"/>
          <w:szCs w:val="28"/>
        </w:rPr>
        <w:br/>
        <w:t xml:space="preserve">№ 471-ФЗ, которым вводится обязательное представление промежуточной бухгалтерской отчетности для всех участников Гособоронзаказа </w:t>
      </w:r>
      <w:r w:rsidRPr="00451F75">
        <w:rPr>
          <w:rFonts w:ascii="Times New Roman" w:hAnsi="Times New Roman"/>
          <w:b/>
          <w:sz w:val="28"/>
          <w:szCs w:val="28"/>
        </w:rPr>
        <w:t>–</w:t>
      </w:r>
      <w:r w:rsidRPr="00451F75">
        <w:rPr>
          <w:rFonts w:ascii="Times New Roman" w:hAnsi="Times New Roman"/>
          <w:sz w:val="28"/>
          <w:szCs w:val="28"/>
        </w:rPr>
        <w:t xml:space="preserve"> от головных исполнителей до конечных соисполнителей. Это нововведение, вступающее в силу с отчетности за первое полугодие 2026 года должно обеспечить государственных заказчиков и регуляторов данными о финансовом состоянии и ходе работ на всех этапах производственной кооперации. Это требование предъявляется ко всем без исключения участникам и исполнителям Гособоронзаказа.</w:t>
      </w:r>
    </w:p>
    <w:p w:rsidR="00451F75" w:rsidRPr="00451F75" w:rsidRDefault="00451F75" w:rsidP="00451F75">
      <w:pPr>
        <w:spacing w:after="0" w:line="240" w:lineRule="auto"/>
        <w:rPr>
          <w:sz w:val="28"/>
          <w:szCs w:val="28"/>
        </w:rPr>
      </w:pPr>
    </w:p>
    <w:sectPr w:rsidR="00451F75" w:rsidRPr="00451F75" w:rsidSect="00AB6DCE">
      <w:footerReference w:type="default" r:id="rId6"/>
      <w:pgSz w:w="11906" w:h="16838"/>
      <w:pgMar w:top="397" w:right="397" w:bottom="397" w:left="397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B47" w:rsidRDefault="00FA3B47" w:rsidP="00A01FF2">
      <w:pPr>
        <w:spacing w:after="0" w:line="240" w:lineRule="auto"/>
      </w:pPr>
      <w:r>
        <w:separator/>
      </w:r>
    </w:p>
  </w:endnote>
  <w:endnote w:type="continuationSeparator" w:id="0">
    <w:p w:rsidR="00FA3B47" w:rsidRDefault="00FA3B47" w:rsidP="00A0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F2" w:rsidRDefault="00BA267C">
    <w:pPr>
      <w:pStyle w:val="a5"/>
      <w:jc w:val="right"/>
    </w:pPr>
    <w:r>
      <w:fldChar w:fldCharType="begin"/>
    </w:r>
    <w:r w:rsidR="00A01FF2">
      <w:instrText>PAGE   \* MERGEFORMAT</w:instrText>
    </w:r>
    <w:r>
      <w:fldChar w:fldCharType="separate"/>
    </w:r>
    <w:r w:rsidR="00451F75">
      <w:rPr>
        <w:noProof/>
      </w:rPr>
      <w:t>1</w:t>
    </w:r>
    <w:r>
      <w:fldChar w:fldCharType="end"/>
    </w:r>
  </w:p>
  <w:p w:rsidR="00A01FF2" w:rsidRDefault="00A01F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B47" w:rsidRDefault="00FA3B47" w:rsidP="00A01FF2">
      <w:pPr>
        <w:spacing w:after="0" w:line="240" w:lineRule="auto"/>
      </w:pPr>
      <w:r>
        <w:separator/>
      </w:r>
    </w:p>
  </w:footnote>
  <w:footnote w:type="continuationSeparator" w:id="0">
    <w:p w:rsidR="00FA3B47" w:rsidRDefault="00FA3B47" w:rsidP="00A0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62CE9"/>
    <w:rsid w:val="00012FD3"/>
    <w:rsid w:val="0005508A"/>
    <w:rsid w:val="00094891"/>
    <w:rsid w:val="000C2558"/>
    <w:rsid w:val="000E4283"/>
    <w:rsid w:val="00151249"/>
    <w:rsid w:val="00186FB0"/>
    <w:rsid w:val="001D4AE1"/>
    <w:rsid w:val="001F194A"/>
    <w:rsid w:val="00241650"/>
    <w:rsid w:val="002419FE"/>
    <w:rsid w:val="0025012E"/>
    <w:rsid w:val="00253E95"/>
    <w:rsid w:val="00284666"/>
    <w:rsid w:val="002E0FB2"/>
    <w:rsid w:val="00315772"/>
    <w:rsid w:val="003B22AC"/>
    <w:rsid w:val="00451F75"/>
    <w:rsid w:val="00470B45"/>
    <w:rsid w:val="004751FB"/>
    <w:rsid w:val="00476FDA"/>
    <w:rsid w:val="004A3930"/>
    <w:rsid w:val="004C7B9E"/>
    <w:rsid w:val="004E0C31"/>
    <w:rsid w:val="00557AB9"/>
    <w:rsid w:val="005722F0"/>
    <w:rsid w:val="005A4D54"/>
    <w:rsid w:val="005A7E29"/>
    <w:rsid w:val="005B0CCB"/>
    <w:rsid w:val="005B2EB1"/>
    <w:rsid w:val="005D3BDF"/>
    <w:rsid w:val="005D5A61"/>
    <w:rsid w:val="005E55C8"/>
    <w:rsid w:val="00606916"/>
    <w:rsid w:val="00633C5A"/>
    <w:rsid w:val="00642B87"/>
    <w:rsid w:val="006935BF"/>
    <w:rsid w:val="006A7235"/>
    <w:rsid w:val="006F5C58"/>
    <w:rsid w:val="00714FCD"/>
    <w:rsid w:val="0072759E"/>
    <w:rsid w:val="007D22AA"/>
    <w:rsid w:val="00871268"/>
    <w:rsid w:val="00871B80"/>
    <w:rsid w:val="008843B7"/>
    <w:rsid w:val="0088740B"/>
    <w:rsid w:val="008A0C3F"/>
    <w:rsid w:val="008A418A"/>
    <w:rsid w:val="00925693"/>
    <w:rsid w:val="0094631B"/>
    <w:rsid w:val="009A0202"/>
    <w:rsid w:val="009D0F99"/>
    <w:rsid w:val="00A01FF2"/>
    <w:rsid w:val="00A4263C"/>
    <w:rsid w:val="00A62CE9"/>
    <w:rsid w:val="00A73F77"/>
    <w:rsid w:val="00AA7710"/>
    <w:rsid w:val="00AB6DCE"/>
    <w:rsid w:val="00AC1AF7"/>
    <w:rsid w:val="00AE17E2"/>
    <w:rsid w:val="00AE2F7E"/>
    <w:rsid w:val="00B2603D"/>
    <w:rsid w:val="00B440F2"/>
    <w:rsid w:val="00BA267C"/>
    <w:rsid w:val="00BA6D5E"/>
    <w:rsid w:val="00BB50F7"/>
    <w:rsid w:val="00BB69BD"/>
    <w:rsid w:val="00C13716"/>
    <w:rsid w:val="00C236DA"/>
    <w:rsid w:val="00C95449"/>
    <w:rsid w:val="00CF384B"/>
    <w:rsid w:val="00D710F6"/>
    <w:rsid w:val="00DB0340"/>
    <w:rsid w:val="00DB7641"/>
    <w:rsid w:val="00DD2EC4"/>
    <w:rsid w:val="00DD503D"/>
    <w:rsid w:val="00DE6EA1"/>
    <w:rsid w:val="00E6443B"/>
    <w:rsid w:val="00E735CA"/>
    <w:rsid w:val="00EA5360"/>
    <w:rsid w:val="00EB108F"/>
    <w:rsid w:val="00EE0E97"/>
    <w:rsid w:val="00F905C4"/>
    <w:rsid w:val="00F943A7"/>
    <w:rsid w:val="00FA3B47"/>
    <w:rsid w:val="00FB3636"/>
    <w:rsid w:val="00FC0BE6"/>
    <w:rsid w:val="00FC7EE2"/>
    <w:rsid w:val="00FE00BA"/>
    <w:rsid w:val="00FE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F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FF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01F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FF2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EA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Doc.dot</Template>
  <TotalTime>112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&amp; Co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2026-06-16T11:05:00Z</cp:lastPrinted>
  <dcterms:created xsi:type="dcterms:W3CDTF">2026-06-11T13:46:00Z</dcterms:created>
  <dcterms:modified xsi:type="dcterms:W3CDTF">2026-06-19T09:43:00Z</dcterms:modified>
</cp:coreProperties>
</file>