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1BFEA" w14:textId="77777777" w:rsidR="0028683E" w:rsidRPr="00C04BE2" w:rsidRDefault="0028683E" w:rsidP="00245707">
      <w:pPr>
        <w:spacing w:after="200"/>
        <w:rPr>
          <w:rFonts w:ascii="Garamond" w:hAnsi="Garamond"/>
          <w:sz w:val="56"/>
          <w:szCs w:val="56"/>
        </w:rPr>
      </w:pPr>
      <w:bookmarkStart w:id="0" w:name="_Toc503351213"/>
      <w:bookmarkStart w:id="1" w:name="_Toc3799944"/>
      <w:bookmarkStart w:id="2" w:name="_Toc474765176"/>
      <w:bookmarkStart w:id="3" w:name="_Toc474765177"/>
      <w:bookmarkStart w:id="4" w:name="_Toc474765186"/>
      <w:bookmarkStart w:id="5" w:name="_Toc474765184"/>
    </w:p>
    <w:p w14:paraId="11DCE907" w14:textId="1D9E487B" w:rsidR="000F4C2C" w:rsidRPr="00C04BE2" w:rsidRDefault="008F3294" w:rsidP="000F4C2C">
      <w:pPr>
        <w:jc w:val="center"/>
        <w:rPr>
          <w:rFonts w:ascii="Garamond" w:hAnsi="Garamond"/>
          <w:b/>
          <w:noProof/>
          <w:sz w:val="56"/>
          <w:szCs w:val="56"/>
        </w:rPr>
      </w:pPr>
      <w:r w:rsidRPr="00C04BE2">
        <w:rPr>
          <w:rFonts w:ascii="Garamond" w:hAnsi="Garamond"/>
          <w:b/>
          <w:sz w:val="56"/>
          <w:szCs w:val="56"/>
        </w:rPr>
        <w:softHyphen/>
      </w:r>
      <w:r w:rsidRPr="00C04BE2">
        <w:rPr>
          <w:rFonts w:ascii="Garamond" w:hAnsi="Garamond"/>
          <w:b/>
          <w:sz w:val="56"/>
          <w:szCs w:val="56"/>
        </w:rPr>
        <w:softHyphen/>
      </w:r>
      <w:r w:rsidRPr="00C04BE2">
        <w:rPr>
          <w:rFonts w:ascii="Garamond" w:hAnsi="Garamond"/>
          <w:b/>
          <w:sz w:val="56"/>
          <w:szCs w:val="56"/>
        </w:rPr>
        <w:softHyphen/>
      </w:r>
      <w:r w:rsidR="000F4C2C" w:rsidRPr="00C04BE2">
        <w:rPr>
          <w:rFonts w:ascii="Garamond" w:hAnsi="Garamond"/>
          <w:b/>
          <w:noProof/>
          <w:sz w:val="56"/>
          <w:szCs w:val="56"/>
        </w:rPr>
        <w:t xml:space="preserve"> Доклад Российского союза промышленников и предпринимателей о состоянии делового климата в 2019-2020 годах</w:t>
      </w:r>
    </w:p>
    <w:p w14:paraId="62E460AC" w14:textId="77777777" w:rsidR="000F4C2C" w:rsidRPr="00C04BE2" w:rsidRDefault="000F4C2C" w:rsidP="000F4C2C">
      <w:pPr>
        <w:jc w:val="center"/>
        <w:rPr>
          <w:rFonts w:ascii="Garamond" w:hAnsi="Garamond"/>
          <w:b/>
          <w:noProof/>
          <w:sz w:val="56"/>
          <w:szCs w:val="56"/>
        </w:rPr>
      </w:pPr>
    </w:p>
    <w:p w14:paraId="6E5D89FD" w14:textId="77777777" w:rsidR="000F4C2C" w:rsidRPr="00C04BE2" w:rsidRDefault="000F4C2C" w:rsidP="000F4C2C">
      <w:pPr>
        <w:jc w:val="center"/>
        <w:rPr>
          <w:rFonts w:ascii="Garamond" w:hAnsi="Garamond"/>
          <w:b/>
          <w:noProof/>
          <w:sz w:val="56"/>
          <w:szCs w:val="56"/>
        </w:rPr>
      </w:pPr>
    </w:p>
    <w:p w14:paraId="15839125" w14:textId="77777777" w:rsidR="000F4C2C" w:rsidRPr="00C04BE2" w:rsidRDefault="000F4C2C" w:rsidP="000F4C2C">
      <w:pPr>
        <w:jc w:val="center"/>
        <w:rPr>
          <w:rFonts w:ascii="Garamond" w:hAnsi="Garamond"/>
          <w:b/>
          <w:noProof/>
          <w:sz w:val="56"/>
          <w:szCs w:val="56"/>
        </w:rPr>
      </w:pPr>
    </w:p>
    <w:p w14:paraId="7363F102" w14:textId="77777777" w:rsidR="000F4C2C" w:rsidRPr="00C04BE2" w:rsidRDefault="000F4C2C" w:rsidP="000F4C2C">
      <w:pPr>
        <w:jc w:val="center"/>
        <w:rPr>
          <w:rFonts w:ascii="Garamond" w:hAnsi="Garamond"/>
          <w:b/>
          <w:noProof/>
          <w:sz w:val="56"/>
          <w:szCs w:val="56"/>
        </w:rPr>
      </w:pPr>
    </w:p>
    <w:p w14:paraId="5C21DF3F" w14:textId="77777777" w:rsidR="000F4C2C" w:rsidRPr="00C04BE2" w:rsidRDefault="000F4C2C" w:rsidP="000F4C2C">
      <w:pPr>
        <w:jc w:val="center"/>
        <w:rPr>
          <w:rFonts w:ascii="Garamond" w:hAnsi="Garamond"/>
          <w:b/>
          <w:noProof/>
          <w:sz w:val="56"/>
          <w:szCs w:val="56"/>
        </w:rPr>
      </w:pPr>
    </w:p>
    <w:p w14:paraId="1A7E681A" w14:textId="77777777" w:rsidR="000F4C2C" w:rsidRPr="00C04BE2" w:rsidRDefault="000F4C2C" w:rsidP="000F4C2C">
      <w:pPr>
        <w:jc w:val="center"/>
        <w:rPr>
          <w:rFonts w:ascii="Garamond" w:hAnsi="Garamond"/>
          <w:b/>
          <w:noProof/>
          <w:sz w:val="56"/>
          <w:szCs w:val="56"/>
        </w:rPr>
      </w:pPr>
    </w:p>
    <w:p w14:paraId="7E6C7CB7" w14:textId="77777777" w:rsidR="000F4C2C" w:rsidRPr="00C04BE2" w:rsidRDefault="000F4C2C" w:rsidP="000F4C2C">
      <w:pPr>
        <w:jc w:val="center"/>
        <w:rPr>
          <w:rFonts w:ascii="Garamond" w:hAnsi="Garamond"/>
          <w:b/>
          <w:noProof/>
          <w:sz w:val="56"/>
          <w:szCs w:val="56"/>
        </w:rPr>
      </w:pPr>
    </w:p>
    <w:p w14:paraId="22F97F6E" w14:textId="77777777" w:rsidR="000F4C2C" w:rsidRPr="00C04BE2" w:rsidRDefault="000F4C2C" w:rsidP="000F4C2C">
      <w:pPr>
        <w:jc w:val="center"/>
        <w:rPr>
          <w:rFonts w:ascii="Garamond" w:hAnsi="Garamond"/>
          <w:b/>
          <w:noProof/>
          <w:sz w:val="56"/>
          <w:szCs w:val="56"/>
        </w:rPr>
      </w:pPr>
    </w:p>
    <w:p w14:paraId="589A57AE" w14:textId="77777777" w:rsidR="000F4C2C" w:rsidRPr="00C04BE2" w:rsidRDefault="000F4C2C" w:rsidP="000F4C2C">
      <w:pPr>
        <w:jc w:val="center"/>
        <w:rPr>
          <w:rFonts w:ascii="Garamond" w:hAnsi="Garamond"/>
          <w:b/>
          <w:noProof/>
          <w:sz w:val="56"/>
          <w:szCs w:val="56"/>
        </w:rPr>
      </w:pPr>
    </w:p>
    <w:p w14:paraId="34229B4F" w14:textId="77777777" w:rsidR="000F4C2C" w:rsidRPr="00C04BE2" w:rsidRDefault="000F4C2C" w:rsidP="000F4C2C">
      <w:pPr>
        <w:jc w:val="center"/>
        <w:rPr>
          <w:rFonts w:ascii="Garamond" w:hAnsi="Garamond"/>
          <w:b/>
          <w:noProof/>
          <w:sz w:val="56"/>
          <w:szCs w:val="56"/>
        </w:rPr>
      </w:pPr>
    </w:p>
    <w:p w14:paraId="2EACEB29" w14:textId="77777777" w:rsidR="000F4C2C" w:rsidRPr="00C04BE2" w:rsidRDefault="000F4C2C" w:rsidP="000F4C2C">
      <w:pPr>
        <w:jc w:val="center"/>
        <w:rPr>
          <w:rFonts w:ascii="Garamond" w:hAnsi="Garamond"/>
          <w:b/>
          <w:noProof/>
          <w:sz w:val="56"/>
          <w:szCs w:val="56"/>
        </w:rPr>
      </w:pPr>
    </w:p>
    <w:p w14:paraId="3AC645FB" w14:textId="77777777" w:rsidR="000F4C2C" w:rsidRPr="00C04BE2" w:rsidRDefault="000F4C2C" w:rsidP="000F4C2C">
      <w:pPr>
        <w:jc w:val="center"/>
        <w:rPr>
          <w:rFonts w:ascii="Garamond" w:hAnsi="Garamond"/>
          <w:b/>
          <w:noProof/>
          <w:sz w:val="56"/>
          <w:szCs w:val="56"/>
        </w:rPr>
      </w:pPr>
    </w:p>
    <w:p w14:paraId="63778FF7" w14:textId="77777777" w:rsidR="000F4C2C" w:rsidRPr="00C04BE2" w:rsidRDefault="000F4C2C" w:rsidP="000F4C2C">
      <w:pPr>
        <w:jc w:val="center"/>
        <w:rPr>
          <w:rFonts w:ascii="Garamond" w:hAnsi="Garamond"/>
          <w:b/>
          <w:noProof/>
          <w:sz w:val="56"/>
          <w:szCs w:val="56"/>
        </w:rPr>
      </w:pPr>
    </w:p>
    <w:p w14:paraId="7CDAD224" w14:textId="77777777" w:rsidR="000F4C2C" w:rsidRPr="00C04BE2" w:rsidRDefault="000F4C2C" w:rsidP="000F4C2C">
      <w:pPr>
        <w:jc w:val="center"/>
        <w:rPr>
          <w:rFonts w:ascii="Garamond" w:hAnsi="Garamond"/>
          <w:b/>
          <w:noProof/>
          <w:sz w:val="56"/>
          <w:szCs w:val="56"/>
        </w:rPr>
      </w:pPr>
    </w:p>
    <w:p w14:paraId="71BC9FFE" w14:textId="77777777" w:rsidR="000F4C2C" w:rsidRPr="00C04BE2" w:rsidRDefault="000F4C2C" w:rsidP="000F4C2C">
      <w:pPr>
        <w:jc w:val="center"/>
        <w:rPr>
          <w:rFonts w:ascii="Garamond" w:hAnsi="Garamond"/>
          <w:b/>
          <w:noProof/>
          <w:sz w:val="56"/>
          <w:szCs w:val="56"/>
        </w:rPr>
      </w:pPr>
    </w:p>
    <w:p w14:paraId="232C93B5" w14:textId="478CB5BB" w:rsidR="0028683E" w:rsidRPr="00C04BE2" w:rsidRDefault="000F4C2C" w:rsidP="00245707">
      <w:pPr>
        <w:jc w:val="center"/>
        <w:rPr>
          <w:rFonts w:ascii="Garamond" w:hAnsi="Garamond"/>
          <w:b/>
          <w:sz w:val="56"/>
          <w:szCs w:val="56"/>
        </w:rPr>
      </w:pPr>
      <w:r w:rsidRPr="00C04BE2">
        <w:rPr>
          <w:rFonts w:ascii="Garamond" w:hAnsi="Garamond"/>
          <w:bCs/>
          <w:sz w:val="44"/>
          <w:szCs w:val="44"/>
        </w:rPr>
        <w:t>Москва, октябрь 2020</w:t>
      </w:r>
    </w:p>
    <w:p w14:paraId="002B416D" w14:textId="77777777" w:rsidR="001A2607" w:rsidRPr="00C04BE2" w:rsidRDefault="001A2607" w:rsidP="00245707">
      <w:pPr>
        <w:spacing w:after="200"/>
        <w:rPr>
          <w:rFonts w:ascii="Garamond" w:hAnsi="Garamond" w:cs="Arial"/>
          <w:b/>
          <w:bCs/>
          <w:kern w:val="32"/>
          <w:sz w:val="28"/>
          <w:szCs w:val="32"/>
          <w:u w:val="single"/>
        </w:rPr>
      </w:pPr>
      <w:r w:rsidRPr="00C04BE2">
        <w:rPr>
          <w:rFonts w:ascii="Garamond" w:hAnsi="Garamond"/>
        </w:rPr>
        <w:br w:type="page"/>
      </w:r>
    </w:p>
    <w:sdt>
      <w:sdtPr>
        <w:rPr>
          <w:rFonts w:ascii="Garamond" w:eastAsia="Times New Roman" w:hAnsi="Garamond" w:cs="Times New Roman"/>
          <w:b w:val="0"/>
          <w:bCs w:val="0"/>
          <w:color w:val="auto"/>
          <w:sz w:val="24"/>
          <w:szCs w:val="24"/>
        </w:rPr>
        <w:id w:val="484058694"/>
        <w:docPartObj>
          <w:docPartGallery w:val="Table of Contents"/>
          <w:docPartUnique/>
        </w:docPartObj>
      </w:sdtPr>
      <w:sdtEndPr/>
      <w:sdtContent>
        <w:p w14:paraId="1679AEB1" w14:textId="77777777" w:rsidR="001A2607" w:rsidRPr="00C04BE2" w:rsidRDefault="001A2607" w:rsidP="00245707">
          <w:pPr>
            <w:pStyle w:val="af"/>
            <w:spacing w:line="240" w:lineRule="auto"/>
            <w:rPr>
              <w:rFonts w:ascii="Garamond" w:hAnsi="Garamond"/>
            </w:rPr>
          </w:pPr>
          <w:r w:rsidRPr="00C04BE2">
            <w:rPr>
              <w:rFonts w:ascii="Garamond" w:hAnsi="Garamond"/>
            </w:rPr>
            <w:t>Оглавление</w:t>
          </w:r>
        </w:p>
        <w:p w14:paraId="5C928049" w14:textId="71DF340E" w:rsidR="00777673" w:rsidRDefault="001A2607">
          <w:pPr>
            <w:pStyle w:val="11"/>
            <w:tabs>
              <w:tab w:val="right" w:leader="dot" w:pos="9514"/>
            </w:tabs>
            <w:rPr>
              <w:rFonts w:asciiTheme="minorHAnsi" w:eastAsiaTheme="minorEastAsia" w:hAnsiTheme="minorHAnsi" w:cstheme="minorBidi"/>
              <w:noProof/>
              <w:sz w:val="22"/>
              <w:szCs w:val="22"/>
            </w:rPr>
          </w:pPr>
          <w:r w:rsidRPr="00C04BE2">
            <w:rPr>
              <w:rFonts w:ascii="Garamond" w:hAnsi="Garamond"/>
            </w:rPr>
            <w:fldChar w:fldCharType="begin"/>
          </w:r>
          <w:r w:rsidRPr="00C04BE2">
            <w:rPr>
              <w:rFonts w:ascii="Garamond" w:hAnsi="Garamond"/>
            </w:rPr>
            <w:instrText xml:space="preserve"> TOC \o "1-3" \h \z \u </w:instrText>
          </w:r>
          <w:r w:rsidRPr="00C04BE2">
            <w:rPr>
              <w:rFonts w:ascii="Garamond" w:hAnsi="Garamond"/>
            </w:rPr>
            <w:fldChar w:fldCharType="separate"/>
          </w:r>
          <w:hyperlink w:anchor="_Toc52745678" w:history="1">
            <w:r w:rsidR="00777673" w:rsidRPr="008D4903">
              <w:rPr>
                <w:rStyle w:val="af0"/>
                <w:rFonts w:ascii="Garamond" w:hAnsi="Garamond"/>
                <w:noProof/>
              </w:rPr>
              <w:t>Макроэкономика</w:t>
            </w:r>
            <w:r w:rsidR="00777673">
              <w:rPr>
                <w:noProof/>
                <w:webHidden/>
              </w:rPr>
              <w:tab/>
            </w:r>
            <w:r w:rsidR="00777673">
              <w:rPr>
                <w:noProof/>
                <w:webHidden/>
              </w:rPr>
              <w:fldChar w:fldCharType="begin"/>
            </w:r>
            <w:r w:rsidR="00777673">
              <w:rPr>
                <w:noProof/>
                <w:webHidden/>
              </w:rPr>
              <w:instrText xml:space="preserve"> PAGEREF _Toc52745678 \h </w:instrText>
            </w:r>
            <w:r w:rsidR="00777673">
              <w:rPr>
                <w:noProof/>
                <w:webHidden/>
              </w:rPr>
            </w:r>
            <w:r w:rsidR="00777673">
              <w:rPr>
                <w:noProof/>
                <w:webHidden/>
              </w:rPr>
              <w:fldChar w:fldCharType="separate"/>
            </w:r>
            <w:r w:rsidR="00777673">
              <w:rPr>
                <w:noProof/>
                <w:webHidden/>
              </w:rPr>
              <w:t>3</w:t>
            </w:r>
            <w:r w:rsidR="00777673">
              <w:rPr>
                <w:noProof/>
                <w:webHidden/>
              </w:rPr>
              <w:fldChar w:fldCharType="end"/>
            </w:r>
          </w:hyperlink>
        </w:p>
        <w:p w14:paraId="7B505DC3" w14:textId="20609399" w:rsidR="00777673" w:rsidRDefault="00C002A2">
          <w:pPr>
            <w:pStyle w:val="11"/>
            <w:tabs>
              <w:tab w:val="right" w:leader="dot" w:pos="9514"/>
            </w:tabs>
            <w:rPr>
              <w:rFonts w:asciiTheme="minorHAnsi" w:eastAsiaTheme="minorEastAsia" w:hAnsiTheme="minorHAnsi" w:cstheme="minorBidi"/>
              <w:noProof/>
              <w:sz w:val="22"/>
              <w:szCs w:val="22"/>
            </w:rPr>
          </w:pPr>
          <w:hyperlink w:anchor="_Toc52745679" w:history="1">
            <w:r w:rsidR="00777673" w:rsidRPr="008D4903">
              <w:rPr>
                <w:rStyle w:val="af0"/>
                <w:rFonts w:ascii="Garamond" w:hAnsi="Garamond"/>
                <w:noProof/>
              </w:rPr>
              <w:t>Введение</w:t>
            </w:r>
            <w:r w:rsidR="00777673">
              <w:rPr>
                <w:noProof/>
                <w:webHidden/>
              </w:rPr>
              <w:tab/>
            </w:r>
            <w:r w:rsidR="00777673">
              <w:rPr>
                <w:noProof/>
                <w:webHidden/>
              </w:rPr>
              <w:fldChar w:fldCharType="begin"/>
            </w:r>
            <w:r w:rsidR="00777673">
              <w:rPr>
                <w:noProof/>
                <w:webHidden/>
              </w:rPr>
              <w:instrText xml:space="preserve"> PAGEREF _Toc52745679 \h </w:instrText>
            </w:r>
            <w:r w:rsidR="00777673">
              <w:rPr>
                <w:noProof/>
                <w:webHidden/>
              </w:rPr>
            </w:r>
            <w:r w:rsidR="00777673">
              <w:rPr>
                <w:noProof/>
                <w:webHidden/>
              </w:rPr>
              <w:fldChar w:fldCharType="separate"/>
            </w:r>
            <w:r w:rsidR="00777673">
              <w:rPr>
                <w:noProof/>
                <w:webHidden/>
              </w:rPr>
              <w:t>3</w:t>
            </w:r>
            <w:r w:rsidR="00777673">
              <w:rPr>
                <w:noProof/>
                <w:webHidden/>
              </w:rPr>
              <w:fldChar w:fldCharType="end"/>
            </w:r>
          </w:hyperlink>
        </w:p>
        <w:p w14:paraId="5529FB99" w14:textId="2BBA96F1" w:rsidR="00777673" w:rsidRDefault="00C002A2">
          <w:pPr>
            <w:pStyle w:val="11"/>
            <w:tabs>
              <w:tab w:val="right" w:leader="dot" w:pos="9514"/>
            </w:tabs>
            <w:rPr>
              <w:rFonts w:asciiTheme="minorHAnsi" w:eastAsiaTheme="minorEastAsia" w:hAnsiTheme="minorHAnsi" w:cstheme="minorBidi"/>
              <w:noProof/>
              <w:sz w:val="22"/>
              <w:szCs w:val="22"/>
            </w:rPr>
          </w:pPr>
          <w:hyperlink w:anchor="_Toc52745680" w:history="1">
            <w:r w:rsidR="00777673" w:rsidRPr="008D4903">
              <w:rPr>
                <w:rStyle w:val="af0"/>
                <w:rFonts w:ascii="Garamond" w:hAnsi="Garamond"/>
                <w:noProof/>
              </w:rPr>
              <w:t>Макроэкономика</w:t>
            </w:r>
            <w:r w:rsidR="00777673">
              <w:rPr>
                <w:noProof/>
                <w:webHidden/>
              </w:rPr>
              <w:tab/>
            </w:r>
            <w:r w:rsidR="00777673">
              <w:rPr>
                <w:noProof/>
                <w:webHidden/>
              </w:rPr>
              <w:fldChar w:fldCharType="begin"/>
            </w:r>
            <w:r w:rsidR="00777673">
              <w:rPr>
                <w:noProof/>
                <w:webHidden/>
              </w:rPr>
              <w:instrText xml:space="preserve"> PAGEREF _Toc52745680 \h </w:instrText>
            </w:r>
            <w:r w:rsidR="00777673">
              <w:rPr>
                <w:noProof/>
                <w:webHidden/>
              </w:rPr>
            </w:r>
            <w:r w:rsidR="00777673">
              <w:rPr>
                <w:noProof/>
                <w:webHidden/>
              </w:rPr>
              <w:fldChar w:fldCharType="separate"/>
            </w:r>
            <w:r w:rsidR="00777673">
              <w:rPr>
                <w:noProof/>
                <w:webHidden/>
              </w:rPr>
              <w:t>4</w:t>
            </w:r>
            <w:r w:rsidR="00777673">
              <w:rPr>
                <w:noProof/>
                <w:webHidden/>
              </w:rPr>
              <w:fldChar w:fldCharType="end"/>
            </w:r>
          </w:hyperlink>
        </w:p>
        <w:p w14:paraId="46A5FCDD" w14:textId="234E43F0" w:rsidR="00777673" w:rsidRDefault="00C002A2">
          <w:pPr>
            <w:pStyle w:val="11"/>
            <w:tabs>
              <w:tab w:val="right" w:leader="dot" w:pos="9514"/>
            </w:tabs>
            <w:rPr>
              <w:rFonts w:asciiTheme="minorHAnsi" w:eastAsiaTheme="minorEastAsia" w:hAnsiTheme="minorHAnsi" w:cstheme="minorBidi"/>
              <w:noProof/>
              <w:sz w:val="22"/>
              <w:szCs w:val="22"/>
            </w:rPr>
          </w:pPr>
          <w:hyperlink w:anchor="_Toc52745681" w:history="1">
            <w:r w:rsidR="00777673" w:rsidRPr="008D4903">
              <w:rPr>
                <w:rStyle w:val="af0"/>
                <w:rFonts w:ascii="Garamond" w:eastAsiaTheme="minorHAnsi" w:hAnsi="Garamond"/>
                <w:noProof/>
                <w:lang w:eastAsia="en-US"/>
              </w:rPr>
              <w:t>Общая оценка делового климата</w:t>
            </w:r>
            <w:r w:rsidR="00777673">
              <w:rPr>
                <w:noProof/>
                <w:webHidden/>
              </w:rPr>
              <w:tab/>
            </w:r>
            <w:r w:rsidR="00777673">
              <w:rPr>
                <w:noProof/>
                <w:webHidden/>
              </w:rPr>
              <w:fldChar w:fldCharType="begin"/>
            </w:r>
            <w:r w:rsidR="00777673">
              <w:rPr>
                <w:noProof/>
                <w:webHidden/>
              </w:rPr>
              <w:instrText xml:space="preserve"> PAGEREF _Toc52745681 \h </w:instrText>
            </w:r>
            <w:r w:rsidR="00777673">
              <w:rPr>
                <w:noProof/>
                <w:webHidden/>
              </w:rPr>
            </w:r>
            <w:r w:rsidR="00777673">
              <w:rPr>
                <w:noProof/>
                <w:webHidden/>
              </w:rPr>
              <w:fldChar w:fldCharType="separate"/>
            </w:r>
            <w:r w:rsidR="00777673">
              <w:rPr>
                <w:noProof/>
                <w:webHidden/>
              </w:rPr>
              <w:t>6</w:t>
            </w:r>
            <w:r w:rsidR="00777673">
              <w:rPr>
                <w:noProof/>
                <w:webHidden/>
              </w:rPr>
              <w:fldChar w:fldCharType="end"/>
            </w:r>
          </w:hyperlink>
        </w:p>
        <w:p w14:paraId="68E293C8" w14:textId="42C55607" w:rsidR="00777673" w:rsidRDefault="00C002A2">
          <w:pPr>
            <w:pStyle w:val="11"/>
            <w:tabs>
              <w:tab w:val="right" w:leader="dot" w:pos="9514"/>
            </w:tabs>
            <w:rPr>
              <w:rFonts w:asciiTheme="minorHAnsi" w:eastAsiaTheme="minorEastAsia" w:hAnsiTheme="minorHAnsi" w:cstheme="minorBidi"/>
              <w:noProof/>
              <w:sz w:val="22"/>
              <w:szCs w:val="22"/>
            </w:rPr>
          </w:pPr>
          <w:hyperlink w:anchor="_Toc52745682" w:history="1">
            <w:r w:rsidR="00777673" w:rsidRPr="008D4903">
              <w:rPr>
                <w:rStyle w:val="af0"/>
                <w:rFonts w:ascii="Garamond" w:hAnsi="Garamond"/>
                <w:noProof/>
              </w:rPr>
              <w:t>Главные проблемы для бизнеса</w:t>
            </w:r>
            <w:r w:rsidR="00777673">
              <w:rPr>
                <w:noProof/>
                <w:webHidden/>
              </w:rPr>
              <w:tab/>
            </w:r>
            <w:r w:rsidR="00777673">
              <w:rPr>
                <w:noProof/>
                <w:webHidden/>
              </w:rPr>
              <w:fldChar w:fldCharType="begin"/>
            </w:r>
            <w:r w:rsidR="00777673">
              <w:rPr>
                <w:noProof/>
                <w:webHidden/>
              </w:rPr>
              <w:instrText xml:space="preserve"> PAGEREF _Toc52745682 \h </w:instrText>
            </w:r>
            <w:r w:rsidR="00777673">
              <w:rPr>
                <w:noProof/>
                <w:webHidden/>
              </w:rPr>
            </w:r>
            <w:r w:rsidR="00777673">
              <w:rPr>
                <w:noProof/>
                <w:webHidden/>
              </w:rPr>
              <w:fldChar w:fldCharType="separate"/>
            </w:r>
            <w:r w:rsidR="00777673">
              <w:rPr>
                <w:noProof/>
                <w:webHidden/>
              </w:rPr>
              <w:t>9</w:t>
            </w:r>
            <w:r w:rsidR="00777673">
              <w:rPr>
                <w:noProof/>
                <w:webHidden/>
              </w:rPr>
              <w:fldChar w:fldCharType="end"/>
            </w:r>
          </w:hyperlink>
        </w:p>
        <w:p w14:paraId="574C5644" w14:textId="1D0754C9" w:rsidR="00777673" w:rsidRDefault="00C002A2">
          <w:pPr>
            <w:pStyle w:val="11"/>
            <w:tabs>
              <w:tab w:val="right" w:leader="dot" w:pos="9514"/>
            </w:tabs>
            <w:rPr>
              <w:rFonts w:asciiTheme="minorHAnsi" w:eastAsiaTheme="minorEastAsia" w:hAnsiTheme="minorHAnsi" w:cstheme="minorBidi"/>
              <w:noProof/>
              <w:sz w:val="22"/>
              <w:szCs w:val="22"/>
            </w:rPr>
          </w:pPr>
          <w:hyperlink w:anchor="_Toc52745683" w:history="1">
            <w:r w:rsidR="00777673" w:rsidRPr="008D4903">
              <w:rPr>
                <w:rStyle w:val="af0"/>
                <w:rFonts w:ascii="Garamond" w:hAnsi="Garamond"/>
                <w:noProof/>
              </w:rPr>
              <w:t>Государственная поддержка</w:t>
            </w:r>
            <w:r w:rsidR="00777673">
              <w:rPr>
                <w:noProof/>
                <w:webHidden/>
              </w:rPr>
              <w:tab/>
            </w:r>
            <w:r w:rsidR="00777673">
              <w:rPr>
                <w:noProof/>
                <w:webHidden/>
              </w:rPr>
              <w:fldChar w:fldCharType="begin"/>
            </w:r>
            <w:r w:rsidR="00777673">
              <w:rPr>
                <w:noProof/>
                <w:webHidden/>
              </w:rPr>
              <w:instrText xml:space="preserve"> PAGEREF _Toc52745683 \h </w:instrText>
            </w:r>
            <w:r w:rsidR="00777673">
              <w:rPr>
                <w:noProof/>
                <w:webHidden/>
              </w:rPr>
            </w:r>
            <w:r w:rsidR="00777673">
              <w:rPr>
                <w:noProof/>
                <w:webHidden/>
              </w:rPr>
              <w:fldChar w:fldCharType="separate"/>
            </w:r>
            <w:r w:rsidR="00777673">
              <w:rPr>
                <w:noProof/>
                <w:webHidden/>
              </w:rPr>
              <w:t>12</w:t>
            </w:r>
            <w:r w:rsidR="00777673">
              <w:rPr>
                <w:noProof/>
                <w:webHidden/>
              </w:rPr>
              <w:fldChar w:fldCharType="end"/>
            </w:r>
          </w:hyperlink>
        </w:p>
        <w:p w14:paraId="26965D26" w14:textId="0B2B83C3" w:rsidR="00777673" w:rsidRDefault="00C002A2">
          <w:pPr>
            <w:pStyle w:val="11"/>
            <w:tabs>
              <w:tab w:val="right" w:leader="dot" w:pos="9514"/>
            </w:tabs>
            <w:rPr>
              <w:rFonts w:asciiTheme="minorHAnsi" w:eastAsiaTheme="minorEastAsia" w:hAnsiTheme="minorHAnsi" w:cstheme="minorBidi"/>
              <w:noProof/>
              <w:sz w:val="22"/>
              <w:szCs w:val="22"/>
            </w:rPr>
          </w:pPr>
          <w:hyperlink w:anchor="_Toc52745684" w:history="1">
            <w:r w:rsidR="00777673" w:rsidRPr="008D4903">
              <w:rPr>
                <w:rStyle w:val="af0"/>
                <w:rFonts w:ascii="Garamond" w:hAnsi="Garamond"/>
                <w:noProof/>
              </w:rPr>
              <w:t>Защита прав компании</w:t>
            </w:r>
            <w:r w:rsidR="00777673">
              <w:rPr>
                <w:noProof/>
                <w:webHidden/>
              </w:rPr>
              <w:tab/>
            </w:r>
            <w:r w:rsidR="00777673">
              <w:rPr>
                <w:noProof/>
                <w:webHidden/>
              </w:rPr>
              <w:fldChar w:fldCharType="begin"/>
            </w:r>
            <w:r w:rsidR="00777673">
              <w:rPr>
                <w:noProof/>
                <w:webHidden/>
              </w:rPr>
              <w:instrText xml:space="preserve"> PAGEREF _Toc52745684 \h </w:instrText>
            </w:r>
            <w:r w:rsidR="00777673">
              <w:rPr>
                <w:noProof/>
                <w:webHidden/>
              </w:rPr>
            </w:r>
            <w:r w:rsidR="00777673">
              <w:rPr>
                <w:noProof/>
                <w:webHidden/>
              </w:rPr>
              <w:fldChar w:fldCharType="separate"/>
            </w:r>
            <w:r w:rsidR="00777673">
              <w:rPr>
                <w:noProof/>
                <w:webHidden/>
              </w:rPr>
              <w:t>19</w:t>
            </w:r>
            <w:r w:rsidR="00777673">
              <w:rPr>
                <w:noProof/>
                <w:webHidden/>
              </w:rPr>
              <w:fldChar w:fldCharType="end"/>
            </w:r>
          </w:hyperlink>
        </w:p>
        <w:p w14:paraId="71804A9A" w14:textId="5EC00A21" w:rsidR="00777673" w:rsidRDefault="00C002A2">
          <w:pPr>
            <w:pStyle w:val="11"/>
            <w:tabs>
              <w:tab w:val="right" w:leader="dot" w:pos="9514"/>
            </w:tabs>
            <w:rPr>
              <w:rFonts w:asciiTheme="minorHAnsi" w:eastAsiaTheme="minorEastAsia" w:hAnsiTheme="minorHAnsi" w:cstheme="minorBidi"/>
              <w:noProof/>
              <w:sz w:val="22"/>
              <w:szCs w:val="22"/>
            </w:rPr>
          </w:pPr>
          <w:hyperlink w:anchor="_Toc52745685" w:history="1">
            <w:r w:rsidR="00777673" w:rsidRPr="008D4903">
              <w:rPr>
                <w:rStyle w:val="af0"/>
                <w:rFonts w:ascii="Garamond" w:hAnsi="Garamond"/>
                <w:noProof/>
              </w:rPr>
              <w:t>Контроль и надзор</w:t>
            </w:r>
            <w:r w:rsidR="00777673">
              <w:rPr>
                <w:noProof/>
                <w:webHidden/>
              </w:rPr>
              <w:tab/>
            </w:r>
            <w:r w:rsidR="00777673">
              <w:rPr>
                <w:noProof/>
                <w:webHidden/>
              </w:rPr>
              <w:fldChar w:fldCharType="begin"/>
            </w:r>
            <w:r w:rsidR="00777673">
              <w:rPr>
                <w:noProof/>
                <w:webHidden/>
              </w:rPr>
              <w:instrText xml:space="preserve"> PAGEREF _Toc52745685 \h </w:instrText>
            </w:r>
            <w:r w:rsidR="00777673">
              <w:rPr>
                <w:noProof/>
                <w:webHidden/>
              </w:rPr>
            </w:r>
            <w:r w:rsidR="00777673">
              <w:rPr>
                <w:noProof/>
                <w:webHidden/>
              </w:rPr>
              <w:fldChar w:fldCharType="separate"/>
            </w:r>
            <w:r w:rsidR="00777673">
              <w:rPr>
                <w:noProof/>
                <w:webHidden/>
              </w:rPr>
              <w:t>20</w:t>
            </w:r>
            <w:r w:rsidR="00777673">
              <w:rPr>
                <w:noProof/>
                <w:webHidden/>
              </w:rPr>
              <w:fldChar w:fldCharType="end"/>
            </w:r>
          </w:hyperlink>
        </w:p>
        <w:p w14:paraId="61BAE0F1" w14:textId="194E4982" w:rsidR="00777673" w:rsidRDefault="00C002A2">
          <w:pPr>
            <w:pStyle w:val="11"/>
            <w:tabs>
              <w:tab w:val="right" w:leader="dot" w:pos="9514"/>
            </w:tabs>
            <w:rPr>
              <w:rFonts w:asciiTheme="minorHAnsi" w:eastAsiaTheme="minorEastAsia" w:hAnsiTheme="minorHAnsi" w:cstheme="minorBidi"/>
              <w:noProof/>
              <w:sz w:val="22"/>
              <w:szCs w:val="22"/>
            </w:rPr>
          </w:pPr>
          <w:hyperlink w:anchor="_Toc52745686" w:history="1">
            <w:r w:rsidR="00777673" w:rsidRPr="008D4903">
              <w:rPr>
                <w:rStyle w:val="af0"/>
                <w:rFonts w:ascii="Garamond" w:hAnsi="Garamond"/>
                <w:noProof/>
              </w:rPr>
              <w:t>Социальная ориентированность бизнеса</w:t>
            </w:r>
            <w:r w:rsidR="00777673">
              <w:rPr>
                <w:noProof/>
                <w:webHidden/>
              </w:rPr>
              <w:tab/>
            </w:r>
            <w:r w:rsidR="00777673">
              <w:rPr>
                <w:noProof/>
                <w:webHidden/>
              </w:rPr>
              <w:fldChar w:fldCharType="begin"/>
            </w:r>
            <w:r w:rsidR="00777673">
              <w:rPr>
                <w:noProof/>
                <w:webHidden/>
              </w:rPr>
              <w:instrText xml:space="preserve"> PAGEREF _Toc52745686 \h </w:instrText>
            </w:r>
            <w:r w:rsidR="00777673">
              <w:rPr>
                <w:noProof/>
                <w:webHidden/>
              </w:rPr>
            </w:r>
            <w:r w:rsidR="00777673">
              <w:rPr>
                <w:noProof/>
                <w:webHidden/>
              </w:rPr>
              <w:fldChar w:fldCharType="separate"/>
            </w:r>
            <w:r w:rsidR="00777673">
              <w:rPr>
                <w:noProof/>
                <w:webHidden/>
              </w:rPr>
              <w:t>22</w:t>
            </w:r>
            <w:r w:rsidR="00777673">
              <w:rPr>
                <w:noProof/>
                <w:webHidden/>
              </w:rPr>
              <w:fldChar w:fldCharType="end"/>
            </w:r>
          </w:hyperlink>
        </w:p>
        <w:p w14:paraId="59546613" w14:textId="206F07E7" w:rsidR="00777673" w:rsidRDefault="00C002A2">
          <w:pPr>
            <w:pStyle w:val="11"/>
            <w:tabs>
              <w:tab w:val="right" w:leader="dot" w:pos="9514"/>
            </w:tabs>
            <w:rPr>
              <w:rFonts w:asciiTheme="minorHAnsi" w:eastAsiaTheme="minorEastAsia" w:hAnsiTheme="minorHAnsi" w:cstheme="minorBidi"/>
              <w:noProof/>
              <w:sz w:val="22"/>
              <w:szCs w:val="22"/>
            </w:rPr>
          </w:pPr>
          <w:hyperlink w:anchor="_Toc52745687" w:history="1">
            <w:r w:rsidR="00777673" w:rsidRPr="008D4903">
              <w:rPr>
                <w:rStyle w:val="af0"/>
                <w:rFonts w:ascii="Garamond" w:eastAsiaTheme="minorHAnsi" w:hAnsi="Garamond"/>
                <w:noProof/>
                <w:lang w:eastAsia="en-US"/>
              </w:rPr>
              <w:t>Кадры и достойный труд</w:t>
            </w:r>
            <w:r w:rsidR="00777673">
              <w:rPr>
                <w:noProof/>
                <w:webHidden/>
              </w:rPr>
              <w:tab/>
            </w:r>
            <w:r w:rsidR="00777673">
              <w:rPr>
                <w:noProof/>
                <w:webHidden/>
              </w:rPr>
              <w:fldChar w:fldCharType="begin"/>
            </w:r>
            <w:r w:rsidR="00777673">
              <w:rPr>
                <w:noProof/>
                <w:webHidden/>
              </w:rPr>
              <w:instrText xml:space="preserve"> PAGEREF _Toc52745687 \h </w:instrText>
            </w:r>
            <w:r w:rsidR="00777673">
              <w:rPr>
                <w:noProof/>
                <w:webHidden/>
              </w:rPr>
            </w:r>
            <w:r w:rsidR="00777673">
              <w:rPr>
                <w:noProof/>
                <w:webHidden/>
              </w:rPr>
              <w:fldChar w:fldCharType="separate"/>
            </w:r>
            <w:r w:rsidR="00777673">
              <w:rPr>
                <w:noProof/>
                <w:webHidden/>
              </w:rPr>
              <w:t>27</w:t>
            </w:r>
            <w:r w:rsidR="00777673">
              <w:rPr>
                <w:noProof/>
                <w:webHidden/>
              </w:rPr>
              <w:fldChar w:fldCharType="end"/>
            </w:r>
          </w:hyperlink>
        </w:p>
        <w:p w14:paraId="15DCCFA8" w14:textId="24DC9CD6" w:rsidR="00777673" w:rsidRDefault="00C002A2">
          <w:pPr>
            <w:pStyle w:val="11"/>
            <w:tabs>
              <w:tab w:val="right" w:leader="dot" w:pos="9514"/>
            </w:tabs>
            <w:rPr>
              <w:rFonts w:asciiTheme="minorHAnsi" w:eastAsiaTheme="minorEastAsia" w:hAnsiTheme="minorHAnsi" w:cstheme="minorBidi"/>
              <w:noProof/>
              <w:sz w:val="22"/>
              <w:szCs w:val="22"/>
            </w:rPr>
          </w:pPr>
          <w:hyperlink w:anchor="_Toc52745688" w:history="1">
            <w:r w:rsidR="00777673" w:rsidRPr="008D4903">
              <w:rPr>
                <w:rStyle w:val="af0"/>
                <w:rFonts w:ascii="Garamond" w:eastAsiaTheme="minorHAnsi" w:hAnsi="Garamond"/>
                <w:noProof/>
                <w:lang w:eastAsia="en-US"/>
              </w:rPr>
              <w:t>Фискальная нагрузка</w:t>
            </w:r>
            <w:r w:rsidR="00777673">
              <w:rPr>
                <w:noProof/>
                <w:webHidden/>
              </w:rPr>
              <w:tab/>
            </w:r>
            <w:r w:rsidR="00777673">
              <w:rPr>
                <w:noProof/>
                <w:webHidden/>
              </w:rPr>
              <w:fldChar w:fldCharType="begin"/>
            </w:r>
            <w:r w:rsidR="00777673">
              <w:rPr>
                <w:noProof/>
                <w:webHidden/>
              </w:rPr>
              <w:instrText xml:space="preserve"> PAGEREF _Toc52745688 \h </w:instrText>
            </w:r>
            <w:r w:rsidR="00777673">
              <w:rPr>
                <w:noProof/>
                <w:webHidden/>
              </w:rPr>
            </w:r>
            <w:r w:rsidR="00777673">
              <w:rPr>
                <w:noProof/>
                <w:webHidden/>
              </w:rPr>
              <w:fldChar w:fldCharType="separate"/>
            </w:r>
            <w:r w:rsidR="00777673">
              <w:rPr>
                <w:noProof/>
                <w:webHidden/>
              </w:rPr>
              <w:t>33</w:t>
            </w:r>
            <w:r w:rsidR="00777673">
              <w:rPr>
                <w:noProof/>
                <w:webHidden/>
              </w:rPr>
              <w:fldChar w:fldCharType="end"/>
            </w:r>
          </w:hyperlink>
        </w:p>
        <w:p w14:paraId="531710F5" w14:textId="52548B73" w:rsidR="00777673" w:rsidRDefault="00C002A2">
          <w:pPr>
            <w:pStyle w:val="11"/>
            <w:tabs>
              <w:tab w:val="right" w:leader="dot" w:pos="9514"/>
            </w:tabs>
            <w:rPr>
              <w:rFonts w:asciiTheme="minorHAnsi" w:eastAsiaTheme="minorEastAsia" w:hAnsiTheme="minorHAnsi" w:cstheme="minorBidi"/>
              <w:noProof/>
              <w:sz w:val="22"/>
              <w:szCs w:val="22"/>
            </w:rPr>
          </w:pPr>
          <w:hyperlink w:anchor="_Toc52745689" w:history="1">
            <w:r w:rsidR="00777673" w:rsidRPr="008D4903">
              <w:rPr>
                <w:rStyle w:val="af0"/>
                <w:rFonts w:ascii="Garamond" w:eastAsiaTheme="minorHAnsi" w:hAnsi="Garamond"/>
                <w:noProof/>
                <w:lang w:eastAsia="en-US"/>
              </w:rPr>
              <w:t>Финансовая сфера</w:t>
            </w:r>
            <w:r w:rsidR="00777673">
              <w:rPr>
                <w:noProof/>
                <w:webHidden/>
              </w:rPr>
              <w:tab/>
            </w:r>
            <w:r w:rsidR="00777673">
              <w:rPr>
                <w:noProof/>
                <w:webHidden/>
              </w:rPr>
              <w:fldChar w:fldCharType="begin"/>
            </w:r>
            <w:r w:rsidR="00777673">
              <w:rPr>
                <w:noProof/>
                <w:webHidden/>
              </w:rPr>
              <w:instrText xml:space="preserve"> PAGEREF _Toc52745689 \h </w:instrText>
            </w:r>
            <w:r w:rsidR="00777673">
              <w:rPr>
                <w:noProof/>
                <w:webHidden/>
              </w:rPr>
            </w:r>
            <w:r w:rsidR="00777673">
              <w:rPr>
                <w:noProof/>
                <w:webHidden/>
              </w:rPr>
              <w:fldChar w:fldCharType="separate"/>
            </w:r>
            <w:r w:rsidR="00777673">
              <w:rPr>
                <w:noProof/>
                <w:webHidden/>
              </w:rPr>
              <w:t>43</w:t>
            </w:r>
            <w:r w:rsidR="00777673">
              <w:rPr>
                <w:noProof/>
                <w:webHidden/>
              </w:rPr>
              <w:fldChar w:fldCharType="end"/>
            </w:r>
          </w:hyperlink>
        </w:p>
        <w:p w14:paraId="36F2784C" w14:textId="378AC105" w:rsidR="00777673" w:rsidRDefault="00C002A2">
          <w:pPr>
            <w:pStyle w:val="11"/>
            <w:tabs>
              <w:tab w:val="right" w:leader="dot" w:pos="9514"/>
            </w:tabs>
            <w:rPr>
              <w:rFonts w:asciiTheme="minorHAnsi" w:eastAsiaTheme="minorEastAsia" w:hAnsiTheme="minorHAnsi" w:cstheme="minorBidi"/>
              <w:noProof/>
              <w:sz w:val="22"/>
              <w:szCs w:val="22"/>
            </w:rPr>
          </w:pPr>
          <w:hyperlink w:anchor="_Toc52745690" w:history="1">
            <w:r w:rsidR="00777673" w:rsidRPr="008D4903">
              <w:rPr>
                <w:rStyle w:val="af0"/>
                <w:rFonts w:ascii="Garamond" w:hAnsi="Garamond"/>
                <w:noProof/>
              </w:rPr>
              <w:t>Цифровизация</w:t>
            </w:r>
            <w:r w:rsidR="00777673">
              <w:rPr>
                <w:noProof/>
                <w:webHidden/>
              </w:rPr>
              <w:tab/>
            </w:r>
            <w:r w:rsidR="00777673">
              <w:rPr>
                <w:noProof/>
                <w:webHidden/>
              </w:rPr>
              <w:fldChar w:fldCharType="begin"/>
            </w:r>
            <w:r w:rsidR="00777673">
              <w:rPr>
                <w:noProof/>
                <w:webHidden/>
              </w:rPr>
              <w:instrText xml:space="preserve"> PAGEREF _Toc52745690 \h </w:instrText>
            </w:r>
            <w:r w:rsidR="00777673">
              <w:rPr>
                <w:noProof/>
                <w:webHidden/>
              </w:rPr>
            </w:r>
            <w:r w:rsidR="00777673">
              <w:rPr>
                <w:noProof/>
                <w:webHidden/>
              </w:rPr>
              <w:fldChar w:fldCharType="separate"/>
            </w:r>
            <w:r w:rsidR="00777673">
              <w:rPr>
                <w:noProof/>
                <w:webHidden/>
              </w:rPr>
              <w:t>46</w:t>
            </w:r>
            <w:r w:rsidR="00777673">
              <w:rPr>
                <w:noProof/>
                <w:webHidden/>
              </w:rPr>
              <w:fldChar w:fldCharType="end"/>
            </w:r>
          </w:hyperlink>
        </w:p>
        <w:p w14:paraId="0EFDC7AA" w14:textId="094767D9" w:rsidR="00777673" w:rsidRDefault="00C002A2">
          <w:pPr>
            <w:pStyle w:val="11"/>
            <w:tabs>
              <w:tab w:val="right" w:leader="dot" w:pos="9514"/>
            </w:tabs>
            <w:rPr>
              <w:rFonts w:asciiTheme="minorHAnsi" w:eastAsiaTheme="minorEastAsia" w:hAnsiTheme="minorHAnsi" w:cstheme="minorBidi"/>
              <w:noProof/>
              <w:sz w:val="22"/>
              <w:szCs w:val="22"/>
            </w:rPr>
          </w:pPr>
          <w:hyperlink w:anchor="_Toc52745691" w:history="1">
            <w:r w:rsidR="00777673" w:rsidRPr="008D4903">
              <w:rPr>
                <w:rStyle w:val="af0"/>
                <w:rFonts w:ascii="Garamond" w:hAnsi="Garamond"/>
                <w:noProof/>
              </w:rPr>
              <w:t>Взгляд в будущее</w:t>
            </w:r>
            <w:r w:rsidR="00777673">
              <w:rPr>
                <w:noProof/>
                <w:webHidden/>
              </w:rPr>
              <w:tab/>
            </w:r>
            <w:r w:rsidR="00777673">
              <w:rPr>
                <w:noProof/>
                <w:webHidden/>
              </w:rPr>
              <w:fldChar w:fldCharType="begin"/>
            </w:r>
            <w:r w:rsidR="00777673">
              <w:rPr>
                <w:noProof/>
                <w:webHidden/>
              </w:rPr>
              <w:instrText xml:space="preserve"> PAGEREF _Toc52745691 \h </w:instrText>
            </w:r>
            <w:r w:rsidR="00777673">
              <w:rPr>
                <w:noProof/>
                <w:webHidden/>
              </w:rPr>
            </w:r>
            <w:r w:rsidR="00777673">
              <w:rPr>
                <w:noProof/>
                <w:webHidden/>
              </w:rPr>
              <w:fldChar w:fldCharType="separate"/>
            </w:r>
            <w:r w:rsidR="00777673">
              <w:rPr>
                <w:noProof/>
                <w:webHidden/>
              </w:rPr>
              <w:t>49</w:t>
            </w:r>
            <w:r w:rsidR="00777673">
              <w:rPr>
                <w:noProof/>
                <w:webHidden/>
              </w:rPr>
              <w:fldChar w:fldCharType="end"/>
            </w:r>
          </w:hyperlink>
        </w:p>
        <w:p w14:paraId="7A06159D" w14:textId="38E1863F" w:rsidR="001A2607" w:rsidRPr="00C04BE2" w:rsidRDefault="001A2607" w:rsidP="00245707">
          <w:pPr>
            <w:rPr>
              <w:rFonts w:ascii="Garamond" w:hAnsi="Garamond"/>
            </w:rPr>
          </w:pPr>
          <w:r w:rsidRPr="00C04BE2">
            <w:rPr>
              <w:rFonts w:ascii="Garamond" w:hAnsi="Garamond"/>
              <w:b/>
              <w:bCs/>
            </w:rPr>
            <w:fldChar w:fldCharType="end"/>
          </w:r>
        </w:p>
      </w:sdtContent>
    </w:sdt>
    <w:p w14:paraId="567830B4" w14:textId="77777777" w:rsidR="001A2607" w:rsidRPr="00C04BE2" w:rsidRDefault="001A2607" w:rsidP="00245707">
      <w:pPr>
        <w:spacing w:after="200"/>
        <w:rPr>
          <w:rFonts w:ascii="Garamond" w:hAnsi="Garamond" w:cs="Arial"/>
          <w:b/>
          <w:bCs/>
          <w:kern w:val="32"/>
          <w:sz w:val="28"/>
          <w:szCs w:val="32"/>
          <w:u w:val="single"/>
        </w:rPr>
      </w:pPr>
      <w:r w:rsidRPr="00C04BE2">
        <w:rPr>
          <w:rFonts w:ascii="Garamond" w:hAnsi="Garamond"/>
        </w:rPr>
        <w:br w:type="page"/>
      </w:r>
    </w:p>
    <w:p w14:paraId="5BF14F37" w14:textId="77777777" w:rsidR="004D07E5" w:rsidRPr="00C04BE2" w:rsidRDefault="004D07E5" w:rsidP="00245707">
      <w:pPr>
        <w:pStyle w:val="1"/>
        <w:rPr>
          <w:rFonts w:ascii="Garamond" w:hAnsi="Garamond"/>
        </w:rPr>
      </w:pPr>
      <w:bookmarkStart w:id="6" w:name="_Toc52745678"/>
      <w:r w:rsidRPr="00C04BE2">
        <w:rPr>
          <w:rFonts w:ascii="Garamond" w:hAnsi="Garamond"/>
        </w:rPr>
        <w:lastRenderedPageBreak/>
        <w:t>Макроэкономика</w:t>
      </w:r>
      <w:bookmarkEnd w:id="0"/>
      <w:bookmarkEnd w:id="1"/>
      <w:bookmarkEnd w:id="6"/>
    </w:p>
    <w:p w14:paraId="5378EB6A" w14:textId="77777777" w:rsidR="004D07E5" w:rsidRPr="00C04BE2" w:rsidRDefault="004D07E5" w:rsidP="00245707">
      <w:pPr>
        <w:ind w:firstLine="709"/>
        <w:jc w:val="both"/>
        <w:rPr>
          <w:rFonts w:ascii="Garamond" w:eastAsiaTheme="minorHAnsi" w:hAnsi="Garamond"/>
          <w:sz w:val="28"/>
          <w:szCs w:val="28"/>
          <w:lang w:eastAsia="en-US"/>
        </w:rPr>
      </w:pPr>
    </w:p>
    <w:p w14:paraId="37D064AA" w14:textId="77777777" w:rsidR="000F4C2C" w:rsidRPr="00C04BE2" w:rsidRDefault="000F4C2C" w:rsidP="000F4C2C">
      <w:pPr>
        <w:pStyle w:val="1"/>
        <w:rPr>
          <w:rFonts w:ascii="Garamond" w:hAnsi="Garamond"/>
        </w:rPr>
      </w:pPr>
      <w:bookmarkStart w:id="7" w:name="_Toc36024681"/>
      <w:bookmarkStart w:id="8" w:name="_Toc52745679"/>
      <w:r w:rsidRPr="00C04BE2">
        <w:rPr>
          <w:rFonts w:ascii="Garamond" w:hAnsi="Garamond"/>
        </w:rPr>
        <w:t>Введение</w:t>
      </w:r>
      <w:bookmarkEnd w:id="7"/>
      <w:bookmarkEnd w:id="8"/>
    </w:p>
    <w:p w14:paraId="50B2B1C9" w14:textId="77777777" w:rsidR="000F4C2C" w:rsidRPr="00C04BE2" w:rsidRDefault="000F4C2C" w:rsidP="000F4C2C">
      <w:pPr>
        <w:rPr>
          <w:rFonts w:ascii="Garamond" w:hAnsi="Garamond"/>
          <w:sz w:val="16"/>
          <w:szCs w:val="16"/>
        </w:rPr>
      </w:pPr>
    </w:p>
    <w:p w14:paraId="725B58AA" w14:textId="77777777" w:rsidR="000F4C2C" w:rsidRPr="00C04BE2" w:rsidRDefault="000F4C2C" w:rsidP="000F4C2C">
      <w:pPr>
        <w:spacing w:line="312" w:lineRule="auto"/>
        <w:ind w:firstLine="709"/>
        <w:jc w:val="both"/>
        <w:rPr>
          <w:rFonts w:ascii="Garamond" w:eastAsiaTheme="minorHAnsi" w:hAnsi="Garamond"/>
          <w:sz w:val="28"/>
          <w:szCs w:val="28"/>
          <w:lang w:eastAsia="en-US"/>
        </w:rPr>
      </w:pPr>
    </w:p>
    <w:p w14:paraId="35655A22" w14:textId="77777777" w:rsidR="000F4C2C" w:rsidRPr="00C04BE2" w:rsidRDefault="000F4C2C" w:rsidP="000F4C2C">
      <w:pPr>
        <w:spacing w:line="312" w:lineRule="auto"/>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Традиционный ежегодный доклад Российского союза о состоянии делового климата не мог не поменять свою структуру в условиях пандемии новой коронавирусной инфекции.</w:t>
      </w:r>
    </w:p>
    <w:p w14:paraId="0C3FA53E" w14:textId="16084990" w:rsidR="000F4C2C" w:rsidRPr="00C04BE2" w:rsidRDefault="000F4C2C" w:rsidP="000F4C2C">
      <w:pPr>
        <w:spacing w:line="312" w:lineRule="auto"/>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Базовые результаты традиционного ежегодного опроса РСПП по состоянию делового климата были представлены в марте 2020 года, но исключительно в электронном виде на сайте РСПП.</w:t>
      </w:r>
    </w:p>
    <w:p w14:paraId="00B2FBAB" w14:textId="0D2E52AC" w:rsidR="000F4C2C" w:rsidRPr="00C04BE2" w:rsidRDefault="000F4C2C" w:rsidP="000F4C2C">
      <w:pPr>
        <w:spacing w:line="312" w:lineRule="auto"/>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К перенесенному на октябрь 2020 году Съезду РСПП подготовлена доработанная версия доклада, дополненная результатами опросов, которые были проведены РСПП в 2020 году.</w:t>
      </w:r>
    </w:p>
    <w:p w14:paraId="45264024" w14:textId="51562970" w:rsidR="005D2027" w:rsidRPr="00C04BE2" w:rsidRDefault="005D2027" w:rsidP="005D2027">
      <w:pPr>
        <w:spacing w:line="312" w:lineRule="auto"/>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Также в докладе использованы результаты опроса, проведенного в конце апреля Российский союз промышленников и предпринимателей совместно с МОТ. Опрос проходил на онлайн-платформе QualtricsXM с 16 по 22 апреля</w:t>
      </w:r>
      <w:r w:rsidR="007C6B07" w:rsidRPr="00C04BE2">
        <w:rPr>
          <w:rFonts w:ascii="Garamond" w:eastAsiaTheme="minorHAnsi" w:hAnsi="Garamond"/>
          <w:sz w:val="28"/>
          <w:szCs w:val="28"/>
          <w:lang w:eastAsia="en-US"/>
        </w:rPr>
        <w:t xml:space="preserve"> 2020 г</w:t>
      </w:r>
      <w:r w:rsidRPr="00C04BE2">
        <w:rPr>
          <w:rFonts w:ascii="Garamond" w:eastAsiaTheme="minorHAnsi" w:hAnsi="Garamond"/>
          <w:sz w:val="28"/>
          <w:szCs w:val="28"/>
          <w:lang w:eastAsia="en-US"/>
        </w:rPr>
        <w:t>.</w:t>
      </w:r>
    </w:p>
    <w:p w14:paraId="6D6D6ED0" w14:textId="77777777" w:rsidR="000F4C2C" w:rsidRPr="00C04BE2" w:rsidRDefault="000F4C2C" w:rsidP="000F4C2C">
      <w:pPr>
        <w:spacing w:line="312" w:lineRule="auto"/>
        <w:ind w:firstLine="709"/>
        <w:jc w:val="both"/>
        <w:rPr>
          <w:rFonts w:ascii="Garamond" w:eastAsiaTheme="minorHAnsi" w:hAnsi="Garamond"/>
          <w:sz w:val="28"/>
          <w:szCs w:val="28"/>
          <w:lang w:eastAsia="en-US"/>
        </w:rPr>
      </w:pPr>
    </w:p>
    <w:p w14:paraId="1A411B66" w14:textId="77777777" w:rsidR="000F4C2C" w:rsidRPr="00C04BE2" w:rsidRDefault="000F4C2C" w:rsidP="000F4C2C">
      <w:pPr>
        <w:spacing w:after="200" w:line="276" w:lineRule="auto"/>
        <w:rPr>
          <w:rFonts w:ascii="Garamond" w:hAnsi="Garamond" w:cs="Arial"/>
          <w:b/>
          <w:bCs/>
          <w:kern w:val="32"/>
          <w:sz w:val="28"/>
          <w:szCs w:val="32"/>
          <w:u w:val="single"/>
        </w:rPr>
      </w:pPr>
      <w:r w:rsidRPr="00C04BE2">
        <w:rPr>
          <w:rFonts w:ascii="Garamond" w:hAnsi="Garamond"/>
        </w:rPr>
        <w:br w:type="page"/>
      </w:r>
    </w:p>
    <w:p w14:paraId="4EC4E468" w14:textId="77777777" w:rsidR="000F4C2C" w:rsidRPr="00C04BE2" w:rsidRDefault="000F4C2C" w:rsidP="00EB26DA">
      <w:pPr>
        <w:pStyle w:val="1"/>
        <w:rPr>
          <w:rFonts w:ascii="Garamond" w:hAnsi="Garamond"/>
        </w:rPr>
      </w:pPr>
      <w:bookmarkStart w:id="9" w:name="_Toc36024682"/>
      <w:bookmarkStart w:id="10" w:name="_Toc52745680"/>
      <w:r w:rsidRPr="00C04BE2">
        <w:rPr>
          <w:rFonts w:ascii="Garamond" w:hAnsi="Garamond"/>
        </w:rPr>
        <w:lastRenderedPageBreak/>
        <w:t>Макроэкономика</w:t>
      </w:r>
      <w:bookmarkEnd w:id="9"/>
      <w:bookmarkEnd w:id="10"/>
    </w:p>
    <w:p w14:paraId="727B4724" w14:textId="77777777" w:rsidR="000F4C2C" w:rsidRPr="00C04BE2" w:rsidRDefault="000F4C2C" w:rsidP="00EB26DA">
      <w:pPr>
        <w:ind w:firstLine="709"/>
        <w:jc w:val="both"/>
        <w:rPr>
          <w:rFonts w:ascii="Garamond" w:eastAsiaTheme="minorHAnsi" w:hAnsi="Garamond"/>
          <w:sz w:val="16"/>
          <w:szCs w:val="16"/>
          <w:lang w:eastAsia="en-US"/>
        </w:rPr>
      </w:pPr>
    </w:p>
    <w:p w14:paraId="7E65165A" w14:textId="715C38A1" w:rsidR="000F4C2C" w:rsidRPr="00C04BE2" w:rsidRDefault="000F4C2C" w:rsidP="00EB26DA">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 xml:space="preserve">В 2019 году макроэкономическая ситуация оставалась непростой. </w:t>
      </w:r>
      <w:r w:rsidR="00697975">
        <w:rPr>
          <w:rFonts w:ascii="Garamond" w:eastAsiaTheme="minorHAnsi" w:hAnsi="Garamond"/>
          <w:sz w:val="28"/>
          <w:szCs w:val="28"/>
          <w:lang w:eastAsia="en-US"/>
        </w:rPr>
        <w:t>Т</w:t>
      </w:r>
      <w:r w:rsidRPr="00C04BE2">
        <w:rPr>
          <w:rFonts w:ascii="Garamond" w:eastAsiaTheme="minorHAnsi" w:hAnsi="Garamond"/>
          <w:sz w:val="28"/>
          <w:szCs w:val="28"/>
          <w:lang w:eastAsia="en-US"/>
        </w:rPr>
        <w:t>емп роста ВВП составил 1,</w:t>
      </w:r>
      <w:r w:rsidR="00697975">
        <w:rPr>
          <w:rFonts w:ascii="Garamond" w:eastAsiaTheme="minorHAnsi" w:hAnsi="Garamond"/>
          <w:sz w:val="28"/>
          <w:szCs w:val="28"/>
          <w:lang w:eastAsia="en-US"/>
        </w:rPr>
        <w:t>4</w:t>
      </w:r>
      <w:r w:rsidRPr="00C04BE2">
        <w:rPr>
          <w:rFonts w:ascii="Garamond" w:eastAsiaTheme="minorHAnsi" w:hAnsi="Garamond"/>
          <w:sz w:val="28"/>
          <w:szCs w:val="28"/>
          <w:lang w:eastAsia="en-US"/>
        </w:rPr>
        <w:t> % г/г., что ниже, чем в 2018 году. Темп роста инвестиций в основной капитал также оказался невысокими. Но ситуация в 2020 году оказалась значительно хуже в результате распространения новой коронавирусной инфекции.</w:t>
      </w:r>
    </w:p>
    <w:p w14:paraId="071778A7" w14:textId="77777777" w:rsidR="000F4C2C" w:rsidRPr="00C04BE2" w:rsidRDefault="000F4C2C" w:rsidP="00EB26DA">
      <w:pPr>
        <w:ind w:firstLine="709"/>
        <w:jc w:val="both"/>
        <w:rPr>
          <w:rFonts w:ascii="Garamond" w:eastAsiaTheme="minorHAnsi" w:hAnsi="Garamond"/>
          <w:sz w:val="16"/>
          <w:szCs w:val="16"/>
          <w:lang w:eastAsia="en-US"/>
        </w:rPr>
      </w:pPr>
    </w:p>
    <w:p w14:paraId="2A7C5F2F" w14:textId="77777777" w:rsidR="000F4C2C" w:rsidRPr="00C04BE2" w:rsidRDefault="000F4C2C" w:rsidP="00EB26DA">
      <w:pPr>
        <w:jc w:val="center"/>
        <w:rPr>
          <w:rFonts w:ascii="Garamond" w:eastAsiaTheme="minorHAnsi" w:hAnsi="Garamond"/>
          <w:b/>
          <w:sz w:val="28"/>
          <w:szCs w:val="28"/>
          <w:lang w:eastAsia="en-US"/>
        </w:rPr>
      </w:pPr>
      <w:r w:rsidRPr="00C04BE2">
        <w:rPr>
          <w:rFonts w:ascii="Garamond" w:eastAsiaTheme="minorHAnsi" w:hAnsi="Garamond"/>
          <w:b/>
          <w:sz w:val="28"/>
          <w:szCs w:val="28"/>
          <w:lang w:eastAsia="en-US"/>
        </w:rPr>
        <w:t>ВВП, инвестиции в основной капитал (в % к предыдущему году)</w:t>
      </w:r>
    </w:p>
    <w:p w14:paraId="005C509D" w14:textId="77777777" w:rsidR="000F4C2C" w:rsidRPr="00C04BE2" w:rsidRDefault="000F4C2C" w:rsidP="00EB26DA">
      <w:pPr>
        <w:jc w:val="both"/>
        <w:rPr>
          <w:rFonts w:ascii="Garamond" w:eastAsiaTheme="minorHAnsi" w:hAnsi="Garamond"/>
          <w:sz w:val="28"/>
          <w:szCs w:val="28"/>
          <w:lang w:eastAsia="en-US"/>
        </w:rPr>
      </w:pPr>
      <w:r w:rsidRPr="00C04BE2">
        <w:rPr>
          <w:rFonts w:ascii="Garamond" w:eastAsiaTheme="minorHAnsi" w:hAnsi="Garamond"/>
          <w:noProof/>
          <w:sz w:val="28"/>
          <w:szCs w:val="28"/>
        </w:rPr>
        <w:drawing>
          <wp:inline distT="0" distB="0" distL="0" distR="0" wp14:anchorId="287948D6" wp14:editId="30CEF83A">
            <wp:extent cx="6248400" cy="1485900"/>
            <wp:effectExtent l="0" t="0" r="0" b="0"/>
            <wp:docPr id="127" name="Диаграмма 12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08D55E6" w14:textId="3350AD50" w:rsidR="000F4C2C" w:rsidRPr="00C04BE2" w:rsidRDefault="000F4C2C" w:rsidP="00EB26DA">
      <w:pPr>
        <w:rPr>
          <w:rFonts w:ascii="Garamond" w:hAnsi="Garamond"/>
          <w:i/>
        </w:rPr>
      </w:pPr>
      <w:r w:rsidRPr="00C04BE2">
        <w:rPr>
          <w:rFonts w:ascii="Garamond" w:hAnsi="Garamond"/>
          <w:i/>
        </w:rPr>
        <w:t>Росстат, 2020 г. – первое полугодие 2020 г. к аналогичному периоду предыдущего года</w:t>
      </w:r>
    </w:p>
    <w:p w14:paraId="7925419A" w14:textId="77777777" w:rsidR="000F4C2C" w:rsidRPr="00C04BE2" w:rsidRDefault="000F4C2C" w:rsidP="00EB26DA">
      <w:pPr>
        <w:ind w:firstLine="680"/>
        <w:jc w:val="both"/>
        <w:rPr>
          <w:rFonts w:ascii="Garamond" w:eastAsiaTheme="minorHAnsi" w:hAnsi="Garamond"/>
          <w:sz w:val="16"/>
          <w:szCs w:val="16"/>
          <w:lang w:eastAsia="en-US"/>
        </w:rPr>
      </w:pPr>
    </w:p>
    <w:p w14:paraId="221A8889" w14:textId="7A218E1C" w:rsidR="00E94650" w:rsidRPr="00C04BE2" w:rsidRDefault="00E94650" w:rsidP="00E94650">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В I полугодии 2020 г. сальдированный финансовый результат (прибыль минус убыток) организаций (без субъектов малого предпринимательства, кредитных организаций, государственных (муниципальных) учреждений, некредитных финансовых организаций) в действующих ценах составил 4308,9 млрд рублей</w:t>
      </w:r>
      <w:r w:rsidR="00697975">
        <w:rPr>
          <w:rFonts w:ascii="Garamond" w:eastAsiaTheme="minorHAnsi" w:hAnsi="Garamond"/>
          <w:sz w:val="28"/>
          <w:szCs w:val="28"/>
          <w:lang w:eastAsia="en-US"/>
        </w:rPr>
        <w:t xml:space="preserve"> (в аналогичном периоде </w:t>
      </w:r>
      <w:r w:rsidRPr="00C04BE2">
        <w:rPr>
          <w:rFonts w:ascii="Garamond" w:eastAsiaTheme="minorHAnsi" w:hAnsi="Garamond"/>
          <w:sz w:val="28"/>
          <w:szCs w:val="28"/>
          <w:lang w:eastAsia="en-US"/>
        </w:rPr>
        <w:t xml:space="preserve">2019 г. </w:t>
      </w:r>
      <w:r w:rsidR="00697975">
        <w:rPr>
          <w:rFonts w:ascii="Garamond" w:eastAsiaTheme="minorHAnsi" w:hAnsi="Garamond"/>
          <w:sz w:val="28"/>
          <w:szCs w:val="28"/>
          <w:lang w:eastAsia="en-US"/>
        </w:rPr>
        <w:t>он составил</w:t>
      </w:r>
      <w:r w:rsidRPr="00C04BE2">
        <w:rPr>
          <w:rFonts w:ascii="Garamond" w:eastAsiaTheme="minorHAnsi" w:hAnsi="Garamond"/>
          <w:sz w:val="28"/>
          <w:szCs w:val="28"/>
          <w:lang w:eastAsia="en-US"/>
        </w:rPr>
        <w:t xml:space="preserve"> 8084,5 млрд рублей.</w:t>
      </w:r>
    </w:p>
    <w:p w14:paraId="6EF4AA23" w14:textId="3B2FEDA9" w:rsidR="00E94650" w:rsidRPr="00C04BE2" w:rsidRDefault="00E94650" w:rsidP="00E94650">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Доля убыточных организаций составила в первом полугодии 2020 г. 35,3 % (в 2019 году 31,4 %), при этом в отраслевом разрезе самая низкая доля убыточных организаций наблюдалась в деятельности трубопроводного транспорта (12,1 %), сельском, лесном хозяйстве, охоте, рыболовстве и рыбоводстве (21,4 %), торговле оптовой и розничной; ремонте автотранспортных средств и мотоциклов (24,1 %), самая высокая – в деятельности железнодорожного транспорта: междугородные и международные пассажирские перевозки (78,6 %), добыче угля (57,5 %), водоснабжении; водоотведении, организации сбора и утилизации отходов, деятельности по ликвидации загрязнений (51,3 %).</w:t>
      </w:r>
    </w:p>
    <w:p w14:paraId="70968E39" w14:textId="77777777" w:rsidR="000F4C2C" w:rsidRPr="00C04BE2" w:rsidRDefault="000F4C2C" w:rsidP="00EB26DA">
      <w:pPr>
        <w:ind w:firstLine="680"/>
        <w:jc w:val="both"/>
        <w:rPr>
          <w:rFonts w:ascii="Garamond" w:eastAsiaTheme="minorHAnsi" w:hAnsi="Garamond"/>
          <w:sz w:val="16"/>
          <w:szCs w:val="16"/>
          <w:lang w:eastAsia="en-US"/>
        </w:rPr>
      </w:pPr>
    </w:p>
    <w:p w14:paraId="5ADB039C" w14:textId="77777777" w:rsidR="000F4C2C" w:rsidRPr="00C04BE2" w:rsidRDefault="000F4C2C" w:rsidP="00EB26DA">
      <w:pPr>
        <w:jc w:val="center"/>
        <w:rPr>
          <w:rFonts w:ascii="Garamond" w:eastAsiaTheme="minorHAnsi" w:hAnsi="Garamond"/>
          <w:b/>
          <w:sz w:val="28"/>
          <w:szCs w:val="28"/>
          <w:lang w:eastAsia="en-US"/>
        </w:rPr>
      </w:pPr>
      <w:r w:rsidRPr="00C04BE2">
        <w:rPr>
          <w:rFonts w:ascii="Garamond" w:eastAsiaTheme="minorHAnsi" w:hAnsi="Garamond"/>
          <w:b/>
          <w:sz w:val="28"/>
          <w:szCs w:val="28"/>
          <w:lang w:eastAsia="en-US"/>
        </w:rPr>
        <w:t xml:space="preserve">Промышленное производство и обрабатывающая промышленность </w:t>
      </w:r>
    </w:p>
    <w:p w14:paraId="1F266EE3" w14:textId="77777777" w:rsidR="000F4C2C" w:rsidRPr="00C04BE2" w:rsidRDefault="000F4C2C" w:rsidP="00EB26DA">
      <w:pPr>
        <w:jc w:val="center"/>
        <w:rPr>
          <w:rFonts w:ascii="Garamond" w:eastAsiaTheme="minorHAnsi" w:hAnsi="Garamond"/>
          <w:b/>
          <w:sz w:val="28"/>
          <w:szCs w:val="28"/>
          <w:lang w:eastAsia="en-US"/>
        </w:rPr>
      </w:pPr>
      <w:r w:rsidRPr="00C04BE2">
        <w:rPr>
          <w:rFonts w:ascii="Garamond" w:eastAsiaTheme="minorHAnsi" w:hAnsi="Garamond"/>
          <w:b/>
          <w:sz w:val="28"/>
          <w:szCs w:val="28"/>
          <w:lang w:eastAsia="en-US"/>
        </w:rPr>
        <w:t>(в % к предыдущему году)</w:t>
      </w:r>
    </w:p>
    <w:p w14:paraId="2078AD91" w14:textId="77777777" w:rsidR="000F4C2C" w:rsidRPr="00C04BE2" w:rsidRDefault="000F4C2C" w:rsidP="00EB26DA">
      <w:pPr>
        <w:jc w:val="both"/>
        <w:rPr>
          <w:rFonts w:ascii="Garamond" w:eastAsiaTheme="minorHAnsi" w:hAnsi="Garamond"/>
          <w:sz w:val="28"/>
          <w:szCs w:val="28"/>
          <w:lang w:eastAsia="en-US"/>
        </w:rPr>
      </w:pPr>
      <w:r w:rsidRPr="00C04BE2">
        <w:rPr>
          <w:rFonts w:ascii="Garamond" w:eastAsiaTheme="minorHAnsi" w:hAnsi="Garamond"/>
          <w:noProof/>
          <w:sz w:val="28"/>
          <w:szCs w:val="28"/>
        </w:rPr>
        <w:drawing>
          <wp:inline distT="0" distB="0" distL="0" distR="0" wp14:anchorId="29CA2594" wp14:editId="4B1057DC">
            <wp:extent cx="6248400" cy="1943100"/>
            <wp:effectExtent l="0" t="0" r="0" b="0"/>
            <wp:docPr id="163" name="Диаграмма 205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0A768DE" w14:textId="3915ACC1" w:rsidR="000F4C2C" w:rsidRPr="00C04BE2" w:rsidRDefault="000F4C2C" w:rsidP="00EB26DA">
      <w:pPr>
        <w:rPr>
          <w:rFonts w:ascii="Garamond" w:hAnsi="Garamond"/>
          <w:i/>
        </w:rPr>
      </w:pPr>
      <w:r w:rsidRPr="00C04BE2">
        <w:rPr>
          <w:rFonts w:ascii="Garamond" w:hAnsi="Garamond"/>
          <w:i/>
        </w:rPr>
        <w:t>Росстат, 2020 г. – первое полугодие 2020 г. к аналогичному периоду предыдущего года</w:t>
      </w:r>
    </w:p>
    <w:p w14:paraId="3CE40621" w14:textId="77777777" w:rsidR="00E94650" w:rsidRPr="00C04BE2" w:rsidRDefault="00E94650" w:rsidP="00E94650">
      <w:pPr>
        <w:ind w:firstLine="709"/>
        <w:jc w:val="both"/>
        <w:rPr>
          <w:rFonts w:ascii="Garamond" w:eastAsiaTheme="minorHAnsi" w:hAnsi="Garamond"/>
          <w:sz w:val="28"/>
          <w:szCs w:val="28"/>
          <w:lang w:eastAsia="en-US"/>
        </w:rPr>
      </w:pPr>
    </w:p>
    <w:p w14:paraId="12CBE659" w14:textId="4A729B78" w:rsidR="00E94650" w:rsidRPr="00C04BE2" w:rsidRDefault="00E94650" w:rsidP="00E94650">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lastRenderedPageBreak/>
        <w:t xml:space="preserve">Промышленное производство росло в 2019 году менее высокими темпами, чем в 2018 году, а в 2020 году пандемия, приостановка производств и падение спроса вызвали </w:t>
      </w:r>
      <w:r w:rsidR="00697975">
        <w:rPr>
          <w:rFonts w:ascii="Garamond" w:eastAsiaTheme="minorHAnsi" w:hAnsi="Garamond"/>
          <w:sz w:val="28"/>
          <w:szCs w:val="28"/>
          <w:lang w:eastAsia="en-US"/>
        </w:rPr>
        <w:t xml:space="preserve">даже не снижение темпов роста, а </w:t>
      </w:r>
      <w:r w:rsidRPr="00C04BE2">
        <w:rPr>
          <w:rFonts w:ascii="Garamond" w:eastAsiaTheme="minorHAnsi" w:hAnsi="Garamond"/>
          <w:sz w:val="28"/>
          <w:szCs w:val="28"/>
          <w:lang w:eastAsia="en-US"/>
        </w:rPr>
        <w:t>спад в промышленности.</w:t>
      </w:r>
    </w:p>
    <w:p w14:paraId="635C163F" w14:textId="77777777" w:rsidR="00EB26DA" w:rsidRPr="00C04BE2" w:rsidRDefault="00EB26DA" w:rsidP="00EB26DA">
      <w:pPr>
        <w:ind w:firstLine="709"/>
        <w:jc w:val="both"/>
        <w:rPr>
          <w:rFonts w:ascii="Garamond" w:eastAsiaTheme="minorHAnsi" w:hAnsi="Garamond"/>
          <w:sz w:val="28"/>
          <w:szCs w:val="28"/>
          <w:lang w:eastAsia="en-US"/>
        </w:rPr>
      </w:pPr>
    </w:p>
    <w:p w14:paraId="722E562D" w14:textId="3833905F" w:rsidR="00EB26DA" w:rsidRPr="00C04BE2" w:rsidRDefault="00EB26DA" w:rsidP="00EB26DA">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Налоговая нагрузка на бизнес планомерно растёт</w:t>
      </w:r>
      <w:r w:rsidR="00C81784" w:rsidRPr="00C04BE2">
        <w:rPr>
          <w:rFonts w:ascii="Garamond" w:eastAsiaTheme="minorHAnsi" w:hAnsi="Garamond"/>
          <w:sz w:val="28"/>
          <w:szCs w:val="28"/>
          <w:lang w:eastAsia="en-US"/>
        </w:rPr>
        <w:t xml:space="preserve">, ряд решений </w:t>
      </w:r>
      <w:r w:rsidR="00E94650" w:rsidRPr="00C04BE2">
        <w:rPr>
          <w:rFonts w:ascii="Garamond" w:eastAsiaTheme="minorHAnsi" w:hAnsi="Garamond"/>
          <w:sz w:val="28"/>
          <w:szCs w:val="28"/>
          <w:lang w:eastAsia="en-US"/>
        </w:rPr>
        <w:t>по её повышению был принят в 2020 году</w:t>
      </w:r>
      <w:r w:rsidR="000D0DCE" w:rsidRPr="00C04BE2">
        <w:rPr>
          <w:rFonts w:ascii="Garamond" w:eastAsiaTheme="minorHAnsi" w:hAnsi="Garamond"/>
          <w:sz w:val="28"/>
          <w:szCs w:val="28"/>
          <w:lang w:eastAsia="en-US"/>
        </w:rPr>
        <w:t xml:space="preserve">, в частности, с 1 января 2021 года вводится рентный коэффициент в размере 3,5 при определении </w:t>
      </w:r>
      <w:r w:rsidR="00941AB1" w:rsidRPr="00C04BE2">
        <w:rPr>
          <w:rFonts w:ascii="Garamond" w:eastAsiaTheme="minorHAnsi" w:hAnsi="Garamond"/>
          <w:sz w:val="28"/>
          <w:szCs w:val="28"/>
          <w:lang w:eastAsia="en-US"/>
        </w:rPr>
        <w:t>НДПИ</w:t>
      </w:r>
      <w:r w:rsidR="007C6B07" w:rsidRPr="00C04BE2">
        <w:rPr>
          <w:rFonts w:ascii="Garamond" w:eastAsiaTheme="minorHAnsi" w:hAnsi="Garamond"/>
          <w:sz w:val="28"/>
          <w:szCs w:val="28"/>
          <w:lang w:eastAsia="en-US"/>
        </w:rPr>
        <w:t xml:space="preserve"> на добычу отдельных видов твердых полезных ископаемых</w:t>
      </w:r>
      <w:r w:rsidRPr="00C04BE2">
        <w:rPr>
          <w:rFonts w:ascii="Garamond" w:eastAsiaTheme="minorHAnsi" w:hAnsi="Garamond"/>
          <w:sz w:val="28"/>
          <w:szCs w:val="28"/>
          <w:lang w:eastAsia="en-US"/>
        </w:rPr>
        <w:t xml:space="preserve">. </w:t>
      </w:r>
    </w:p>
    <w:p w14:paraId="416EFAA5" w14:textId="77777777" w:rsidR="000F4C2C" w:rsidRPr="00C04BE2" w:rsidRDefault="000F4C2C" w:rsidP="00EB26DA">
      <w:pPr>
        <w:ind w:firstLine="680"/>
        <w:jc w:val="both"/>
        <w:rPr>
          <w:rFonts w:ascii="Garamond" w:eastAsiaTheme="minorHAnsi" w:hAnsi="Garamond"/>
          <w:sz w:val="28"/>
          <w:szCs w:val="28"/>
          <w:lang w:eastAsia="en-US"/>
        </w:rPr>
      </w:pPr>
    </w:p>
    <w:p w14:paraId="0DA0AA97" w14:textId="77777777" w:rsidR="000F4C2C" w:rsidRPr="00C04BE2" w:rsidRDefault="000F4C2C" w:rsidP="00EB26DA">
      <w:pPr>
        <w:pStyle w:val="ae"/>
        <w:jc w:val="center"/>
        <w:rPr>
          <w:rFonts w:ascii="Garamond" w:hAnsi="Garamond"/>
          <w:b/>
          <w:sz w:val="28"/>
          <w:szCs w:val="28"/>
        </w:rPr>
      </w:pPr>
      <w:r w:rsidRPr="00C04BE2">
        <w:rPr>
          <w:rFonts w:ascii="Garamond" w:hAnsi="Garamond"/>
          <w:b/>
          <w:sz w:val="28"/>
          <w:szCs w:val="28"/>
        </w:rPr>
        <w:t>Поступление по уровням бюджета за 1 квартал 2019-2020 г.</w:t>
      </w:r>
    </w:p>
    <w:p w14:paraId="67BD1402" w14:textId="77777777" w:rsidR="000F4C2C" w:rsidRPr="00C04BE2" w:rsidRDefault="000F4C2C" w:rsidP="00EB26DA">
      <w:pPr>
        <w:pStyle w:val="ae"/>
        <w:jc w:val="center"/>
        <w:rPr>
          <w:rFonts w:ascii="Garamond" w:hAnsi="Garamond"/>
          <w:sz w:val="28"/>
          <w:szCs w:val="28"/>
        </w:rPr>
      </w:pPr>
      <w:r w:rsidRPr="00C04BE2">
        <w:rPr>
          <w:rFonts w:ascii="Garamond" w:hAnsi="Garamond"/>
          <w:b/>
          <w:sz w:val="28"/>
          <w:szCs w:val="28"/>
        </w:rPr>
        <w:t>(данные ФНС России)</w:t>
      </w:r>
    </w:p>
    <w:p w14:paraId="5BB5708F" w14:textId="77777777" w:rsidR="000F4C2C" w:rsidRPr="00C04BE2" w:rsidRDefault="000F4C2C" w:rsidP="00EB26DA">
      <w:pPr>
        <w:pStyle w:val="ae"/>
        <w:jc w:val="center"/>
        <w:rPr>
          <w:rFonts w:ascii="Garamond" w:hAnsi="Garamond"/>
          <w:sz w:val="28"/>
          <w:szCs w:val="28"/>
        </w:rPr>
      </w:pPr>
    </w:p>
    <w:tbl>
      <w:tblPr>
        <w:tblStyle w:val="ad"/>
        <w:tblW w:w="9194" w:type="dxa"/>
        <w:tblInd w:w="288" w:type="dxa"/>
        <w:tblLayout w:type="fixed"/>
        <w:tblLook w:val="04A0" w:firstRow="1" w:lastRow="0" w:firstColumn="1" w:lastColumn="0" w:noHBand="0" w:noVBand="1"/>
      </w:tblPr>
      <w:tblGrid>
        <w:gridCol w:w="5415"/>
        <w:gridCol w:w="1260"/>
        <w:gridCol w:w="1400"/>
        <w:gridCol w:w="1119"/>
      </w:tblGrid>
      <w:tr w:rsidR="000F4C2C" w:rsidRPr="00C04BE2" w14:paraId="0555A8A8" w14:textId="77777777" w:rsidTr="000F4C2C">
        <w:trPr>
          <w:trHeight w:val="323"/>
        </w:trPr>
        <w:tc>
          <w:tcPr>
            <w:tcW w:w="5415" w:type="dxa"/>
            <w:vMerge w:val="restart"/>
          </w:tcPr>
          <w:p w14:paraId="5AAC0400" w14:textId="77777777" w:rsidR="000F4C2C" w:rsidRPr="00C04BE2" w:rsidRDefault="000F4C2C" w:rsidP="00EB26DA">
            <w:pPr>
              <w:jc w:val="center"/>
              <w:rPr>
                <w:rFonts w:ascii="Garamond" w:hAnsi="Garamond"/>
                <w:b/>
                <w:sz w:val="28"/>
                <w:szCs w:val="28"/>
              </w:rPr>
            </w:pPr>
            <w:r w:rsidRPr="00C04BE2">
              <w:rPr>
                <w:rFonts w:ascii="Garamond" w:hAnsi="Garamond"/>
                <w:b/>
                <w:sz w:val="28"/>
                <w:szCs w:val="28"/>
              </w:rPr>
              <w:t>Вид бюджета</w:t>
            </w:r>
          </w:p>
        </w:tc>
        <w:tc>
          <w:tcPr>
            <w:tcW w:w="3779" w:type="dxa"/>
            <w:gridSpan w:val="3"/>
          </w:tcPr>
          <w:p w14:paraId="14225CFA" w14:textId="77777777" w:rsidR="000F4C2C" w:rsidRPr="00C04BE2" w:rsidRDefault="000F4C2C" w:rsidP="00EB26DA">
            <w:pPr>
              <w:rPr>
                <w:rFonts w:ascii="Garamond" w:hAnsi="Garamond"/>
                <w:b/>
                <w:sz w:val="28"/>
                <w:szCs w:val="28"/>
              </w:rPr>
            </w:pPr>
            <w:r w:rsidRPr="00C04BE2">
              <w:rPr>
                <w:rFonts w:ascii="Garamond" w:hAnsi="Garamond"/>
                <w:b/>
                <w:sz w:val="28"/>
                <w:szCs w:val="28"/>
              </w:rPr>
              <w:t>1 квартал, млрд. руб.</w:t>
            </w:r>
          </w:p>
        </w:tc>
      </w:tr>
      <w:tr w:rsidR="000F4C2C" w:rsidRPr="00C04BE2" w14:paraId="657DF171" w14:textId="77777777" w:rsidTr="000F4C2C">
        <w:trPr>
          <w:trHeight w:val="149"/>
        </w:trPr>
        <w:tc>
          <w:tcPr>
            <w:tcW w:w="5415" w:type="dxa"/>
            <w:vMerge/>
          </w:tcPr>
          <w:p w14:paraId="4233F399" w14:textId="77777777" w:rsidR="000F4C2C" w:rsidRPr="00C04BE2" w:rsidRDefault="000F4C2C" w:rsidP="00EB26DA">
            <w:pPr>
              <w:rPr>
                <w:rFonts w:ascii="Garamond" w:hAnsi="Garamond"/>
                <w:sz w:val="28"/>
                <w:szCs w:val="28"/>
              </w:rPr>
            </w:pPr>
          </w:p>
        </w:tc>
        <w:tc>
          <w:tcPr>
            <w:tcW w:w="1260" w:type="dxa"/>
          </w:tcPr>
          <w:p w14:paraId="5E1501C2" w14:textId="77777777" w:rsidR="000F4C2C" w:rsidRPr="00C04BE2" w:rsidRDefault="000F4C2C" w:rsidP="00EB26DA">
            <w:pPr>
              <w:jc w:val="center"/>
              <w:rPr>
                <w:rFonts w:ascii="Garamond" w:hAnsi="Garamond"/>
                <w:b/>
                <w:sz w:val="28"/>
                <w:szCs w:val="28"/>
              </w:rPr>
            </w:pPr>
            <w:r w:rsidRPr="00C04BE2">
              <w:rPr>
                <w:rFonts w:ascii="Garamond" w:hAnsi="Garamond"/>
                <w:b/>
                <w:sz w:val="28"/>
                <w:szCs w:val="28"/>
              </w:rPr>
              <w:t>2019</w:t>
            </w:r>
          </w:p>
        </w:tc>
        <w:tc>
          <w:tcPr>
            <w:tcW w:w="1400" w:type="dxa"/>
          </w:tcPr>
          <w:p w14:paraId="66F14CC3" w14:textId="77777777" w:rsidR="000F4C2C" w:rsidRPr="00C04BE2" w:rsidRDefault="000F4C2C" w:rsidP="00EB26DA">
            <w:pPr>
              <w:jc w:val="center"/>
              <w:rPr>
                <w:rFonts w:ascii="Garamond" w:hAnsi="Garamond"/>
                <w:b/>
                <w:sz w:val="28"/>
                <w:szCs w:val="28"/>
              </w:rPr>
            </w:pPr>
            <w:r w:rsidRPr="00C04BE2">
              <w:rPr>
                <w:rFonts w:ascii="Garamond" w:hAnsi="Garamond"/>
                <w:b/>
                <w:sz w:val="28"/>
                <w:szCs w:val="28"/>
              </w:rPr>
              <w:t>2020</w:t>
            </w:r>
          </w:p>
        </w:tc>
        <w:tc>
          <w:tcPr>
            <w:tcW w:w="1119" w:type="dxa"/>
          </w:tcPr>
          <w:p w14:paraId="521AB426" w14:textId="77777777" w:rsidR="000F4C2C" w:rsidRPr="00C04BE2" w:rsidRDefault="000F4C2C" w:rsidP="00EB26DA">
            <w:pPr>
              <w:jc w:val="center"/>
              <w:rPr>
                <w:rFonts w:ascii="Garamond" w:hAnsi="Garamond"/>
                <w:b/>
                <w:sz w:val="28"/>
                <w:szCs w:val="28"/>
              </w:rPr>
            </w:pPr>
            <w:r w:rsidRPr="00C04BE2">
              <w:rPr>
                <w:rFonts w:ascii="Garamond" w:hAnsi="Garamond"/>
                <w:b/>
                <w:sz w:val="28"/>
                <w:szCs w:val="28"/>
              </w:rPr>
              <w:t>темп %</w:t>
            </w:r>
          </w:p>
        </w:tc>
      </w:tr>
      <w:tr w:rsidR="000F4C2C" w:rsidRPr="00C04BE2" w14:paraId="5FAC4283" w14:textId="77777777" w:rsidTr="000F4C2C">
        <w:trPr>
          <w:trHeight w:val="323"/>
        </w:trPr>
        <w:tc>
          <w:tcPr>
            <w:tcW w:w="5415" w:type="dxa"/>
          </w:tcPr>
          <w:p w14:paraId="2BA45B83" w14:textId="77777777" w:rsidR="000F4C2C" w:rsidRPr="00C04BE2" w:rsidRDefault="000F4C2C" w:rsidP="00EB26DA">
            <w:pPr>
              <w:rPr>
                <w:rFonts w:ascii="Garamond" w:hAnsi="Garamond"/>
                <w:sz w:val="28"/>
                <w:szCs w:val="28"/>
              </w:rPr>
            </w:pPr>
            <w:r w:rsidRPr="00C04BE2">
              <w:rPr>
                <w:rFonts w:ascii="Garamond" w:hAnsi="Garamond"/>
                <w:sz w:val="28"/>
                <w:szCs w:val="28"/>
              </w:rPr>
              <w:t>Консолидированный бюджет</w:t>
            </w:r>
          </w:p>
        </w:tc>
        <w:tc>
          <w:tcPr>
            <w:tcW w:w="1260" w:type="dxa"/>
          </w:tcPr>
          <w:p w14:paraId="5B5773CD" w14:textId="77777777" w:rsidR="000F4C2C" w:rsidRPr="00C04BE2" w:rsidRDefault="000F4C2C" w:rsidP="00EB26DA">
            <w:pPr>
              <w:jc w:val="center"/>
              <w:rPr>
                <w:rFonts w:ascii="Garamond" w:hAnsi="Garamond"/>
                <w:sz w:val="28"/>
                <w:szCs w:val="28"/>
              </w:rPr>
            </w:pPr>
            <w:r w:rsidRPr="00C04BE2">
              <w:rPr>
                <w:rFonts w:ascii="Garamond" w:hAnsi="Garamond"/>
                <w:sz w:val="28"/>
                <w:szCs w:val="28"/>
              </w:rPr>
              <w:t>5 223,9</w:t>
            </w:r>
          </w:p>
        </w:tc>
        <w:tc>
          <w:tcPr>
            <w:tcW w:w="1400" w:type="dxa"/>
          </w:tcPr>
          <w:p w14:paraId="450256B0" w14:textId="77777777" w:rsidR="000F4C2C" w:rsidRPr="00C04BE2" w:rsidRDefault="000F4C2C" w:rsidP="00EB26DA">
            <w:pPr>
              <w:jc w:val="center"/>
              <w:rPr>
                <w:rFonts w:ascii="Garamond" w:hAnsi="Garamond"/>
                <w:sz w:val="28"/>
                <w:szCs w:val="28"/>
              </w:rPr>
            </w:pPr>
            <w:r w:rsidRPr="00C04BE2">
              <w:rPr>
                <w:rFonts w:ascii="Garamond" w:hAnsi="Garamond"/>
                <w:sz w:val="28"/>
                <w:szCs w:val="28"/>
              </w:rPr>
              <w:t>5 532,2</w:t>
            </w:r>
          </w:p>
        </w:tc>
        <w:tc>
          <w:tcPr>
            <w:tcW w:w="1119" w:type="dxa"/>
          </w:tcPr>
          <w:p w14:paraId="05C48844" w14:textId="77777777" w:rsidR="000F4C2C" w:rsidRPr="00C04BE2" w:rsidRDefault="000F4C2C" w:rsidP="00EB26DA">
            <w:pPr>
              <w:jc w:val="center"/>
              <w:rPr>
                <w:rFonts w:ascii="Garamond" w:hAnsi="Garamond"/>
                <w:sz w:val="28"/>
                <w:szCs w:val="28"/>
              </w:rPr>
            </w:pPr>
            <w:r w:rsidRPr="00C04BE2">
              <w:rPr>
                <w:rFonts w:ascii="Garamond" w:hAnsi="Garamond"/>
                <w:sz w:val="28"/>
                <w:szCs w:val="28"/>
              </w:rPr>
              <w:t xml:space="preserve">105,9  </w:t>
            </w:r>
          </w:p>
        </w:tc>
      </w:tr>
      <w:tr w:rsidR="000F4C2C" w:rsidRPr="00C04BE2" w14:paraId="718C8CA8" w14:textId="77777777" w:rsidTr="000F4C2C">
        <w:trPr>
          <w:trHeight w:val="323"/>
        </w:trPr>
        <w:tc>
          <w:tcPr>
            <w:tcW w:w="5415" w:type="dxa"/>
          </w:tcPr>
          <w:p w14:paraId="6E808310" w14:textId="77777777" w:rsidR="000F4C2C" w:rsidRPr="00C04BE2" w:rsidRDefault="000F4C2C" w:rsidP="00EB26DA">
            <w:pPr>
              <w:rPr>
                <w:rFonts w:ascii="Garamond" w:hAnsi="Garamond"/>
                <w:sz w:val="28"/>
                <w:szCs w:val="28"/>
              </w:rPr>
            </w:pPr>
            <w:r w:rsidRPr="00C04BE2">
              <w:rPr>
                <w:rFonts w:ascii="Garamond" w:hAnsi="Garamond"/>
                <w:sz w:val="28"/>
                <w:szCs w:val="28"/>
              </w:rPr>
              <w:t>Федеральный бюджет</w:t>
            </w:r>
          </w:p>
        </w:tc>
        <w:tc>
          <w:tcPr>
            <w:tcW w:w="1260" w:type="dxa"/>
            <w:vAlign w:val="center"/>
          </w:tcPr>
          <w:p w14:paraId="5330F718" w14:textId="77777777" w:rsidR="000F4C2C" w:rsidRPr="00C04BE2" w:rsidRDefault="000F4C2C" w:rsidP="00EB26DA">
            <w:pPr>
              <w:jc w:val="center"/>
              <w:rPr>
                <w:rFonts w:ascii="Garamond" w:hAnsi="Garamond"/>
                <w:sz w:val="28"/>
                <w:szCs w:val="28"/>
              </w:rPr>
            </w:pPr>
            <w:r w:rsidRPr="00C04BE2">
              <w:rPr>
                <w:rFonts w:ascii="Garamond" w:hAnsi="Garamond"/>
                <w:sz w:val="28"/>
                <w:szCs w:val="28"/>
              </w:rPr>
              <w:t>3 026,9</w:t>
            </w:r>
          </w:p>
        </w:tc>
        <w:tc>
          <w:tcPr>
            <w:tcW w:w="1400" w:type="dxa"/>
            <w:vAlign w:val="center"/>
          </w:tcPr>
          <w:p w14:paraId="18843E58" w14:textId="77777777" w:rsidR="000F4C2C" w:rsidRPr="00C04BE2" w:rsidRDefault="000F4C2C" w:rsidP="00EB26DA">
            <w:pPr>
              <w:jc w:val="center"/>
              <w:rPr>
                <w:rFonts w:ascii="Garamond" w:hAnsi="Garamond"/>
                <w:sz w:val="28"/>
                <w:szCs w:val="28"/>
              </w:rPr>
            </w:pPr>
            <w:r w:rsidRPr="00C04BE2">
              <w:rPr>
                <w:rFonts w:ascii="Garamond" w:hAnsi="Garamond"/>
                <w:sz w:val="28"/>
                <w:szCs w:val="28"/>
              </w:rPr>
              <w:t>3 153,1</w:t>
            </w:r>
          </w:p>
        </w:tc>
        <w:tc>
          <w:tcPr>
            <w:tcW w:w="1119" w:type="dxa"/>
          </w:tcPr>
          <w:p w14:paraId="24587BA7" w14:textId="77777777" w:rsidR="000F4C2C" w:rsidRPr="00C04BE2" w:rsidRDefault="000F4C2C" w:rsidP="00EB26DA">
            <w:pPr>
              <w:jc w:val="center"/>
              <w:rPr>
                <w:rFonts w:ascii="Garamond" w:hAnsi="Garamond"/>
                <w:sz w:val="28"/>
                <w:szCs w:val="28"/>
              </w:rPr>
            </w:pPr>
            <w:r w:rsidRPr="00C04BE2">
              <w:rPr>
                <w:rFonts w:ascii="Garamond" w:hAnsi="Garamond"/>
                <w:sz w:val="28"/>
                <w:szCs w:val="28"/>
              </w:rPr>
              <w:t>104,2</w:t>
            </w:r>
          </w:p>
        </w:tc>
      </w:tr>
      <w:tr w:rsidR="000F4C2C" w:rsidRPr="00C04BE2" w14:paraId="030E6561" w14:textId="77777777" w:rsidTr="000F4C2C">
        <w:trPr>
          <w:trHeight w:val="345"/>
        </w:trPr>
        <w:tc>
          <w:tcPr>
            <w:tcW w:w="5415" w:type="dxa"/>
          </w:tcPr>
          <w:p w14:paraId="37FD04D0" w14:textId="77777777" w:rsidR="000F4C2C" w:rsidRPr="00C04BE2" w:rsidRDefault="000F4C2C" w:rsidP="00EB26DA">
            <w:pPr>
              <w:rPr>
                <w:rFonts w:ascii="Garamond" w:hAnsi="Garamond"/>
                <w:sz w:val="28"/>
                <w:szCs w:val="28"/>
              </w:rPr>
            </w:pPr>
            <w:r w:rsidRPr="00C04BE2">
              <w:rPr>
                <w:rFonts w:ascii="Garamond" w:hAnsi="Garamond"/>
                <w:sz w:val="28"/>
                <w:szCs w:val="28"/>
              </w:rPr>
              <w:t>Консолидированные бюджеты субъектов РФ</w:t>
            </w:r>
          </w:p>
        </w:tc>
        <w:tc>
          <w:tcPr>
            <w:tcW w:w="1260" w:type="dxa"/>
          </w:tcPr>
          <w:p w14:paraId="00AE7C1A" w14:textId="77777777" w:rsidR="000F4C2C" w:rsidRPr="00C04BE2" w:rsidRDefault="000F4C2C" w:rsidP="00EB26DA">
            <w:pPr>
              <w:jc w:val="center"/>
              <w:rPr>
                <w:rFonts w:ascii="Garamond" w:hAnsi="Garamond"/>
                <w:sz w:val="28"/>
                <w:szCs w:val="28"/>
              </w:rPr>
            </w:pPr>
            <w:r w:rsidRPr="00C04BE2">
              <w:rPr>
                <w:rFonts w:ascii="Garamond" w:hAnsi="Garamond"/>
                <w:sz w:val="28"/>
                <w:szCs w:val="28"/>
              </w:rPr>
              <w:t>2 197,0</w:t>
            </w:r>
          </w:p>
        </w:tc>
        <w:tc>
          <w:tcPr>
            <w:tcW w:w="1400" w:type="dxa"/>
          </w:tcPr>
          <w:p w14:paraId="40DBB16F" w14:textId="77777777" w:rsidR="000F4C2C" w:rsidRPr="00C04BE2" w:rsidRDefault="000F4C2C" w:rsidP="00EB26DA">
            <w:pPr>
              <w:jc w:val="center"/>
              <w:rPr>
                <w:rFonts w:ascii="Garamond" w:hAnsi="Garamond"/>
                <w:sz w:val="28"/>
                <w:szCs w:val="28"/>
              </w:rPr>
            </w:pPr>
            <w:r w:rsidRPr="00C04BE2">
              <w:rPr>
                <w:rFonts w:ascii="Garamond" w:hAnsi="Garamond"/>
                <w:sz w:val="28"/>
                <w:szCs w:val="28"/>
              </w:rPr>
              <w:t>2 379,1</w:t>
            </w:r>
          </w:p>
        </w:tc>
        <w:tc>
          <w:tcPr>
            <w:tcW w:w="1119" w:type="dxa"/>
          </w:tcPr>
          <w:p w14:paraId="4732CDCF" w14:textId="77777777" w:rsidR="000F4C2C" w:rsidRPr="00C04BE2" w:rsidRDefault="000F4C2C" w:rsidP="00EB26DA">
            <w:pPr>
              <w:jc w:val="center"/>
              <w:rPr>
                <w:rFonts w:ascii="Garamond" w:hAnsi="Garamond"/>
                <w:sz w:val="28"/>
                <w:szCs w:val="28"/>
              </w:rPr>
            </w:pPr>
            <w:r w:rsidRPr="00C04BE2">
              <w:rPr>
                <w:rFonts w:ascii="Garamond" w:hAnsi="Garamond"/>
                <w:sz w:val="28"/>
                <w:szCs w:val="28"/>
              </w:rPr>
              <w:t>108,3</w:t>
            </w:r>
          </w:p>
        </w:tc>
      </w:tr>
    </w:tbl>
    <w:p w14:paraId="5A53F249" w14:textId="77777777" w:rsidR="000F4C2C" w:rsidRPr="00C04BE2" w:rsidRDefault="000F4C2C" w:rsidP="00EB26DA">
      <w:pPr>
        <w:pStyle w:val="ae"/>
        <w:jc w:val="center"/>
        <w:rPr>
          <w:rFonts w:ascii="Garamond" w:hAnsi="Garamond"/>
          <w:b/>
          <w:sz w:val="28"/>
          <w:szCs w:val="28"/>
        </w:rPr>
      </w:pPr>
    </w:p>
    <w:p w14:paraId="6182AF44" w14:textId="77777777" w:rsidR="000F4C2C" w:rsidRPr="00C04BE2" w:rsidRDefault="000F4C2C" w:rsidP="00EB26DA">
      <w:pPr>
        <w:pStyle w:val="ae"/>
        <w:jc w:val="center"/>
        <w:rPr>
          <w:rFonts w:ascii="Garamond" w:hAnsi="Garamond"/>
          <w:b/>
          <w:sz w:val="28"/>
          <w:szCs w:val="28"/>
        </w:rPr>
      </w:pPr>
      <w:r w:rsidRPr="00C04BE2">
        <w:rPr>
          <w:rFonts w:ascii="Garamond" w:hAnsi="Garamond"/>
          <w:b/>
          <w:sz w:val="28"/>
          <w:szCs w:val="28"/>
        </w:rPr>
        <w:t xml:space="preserve">Поступление по видам налогов в консолидированный бюджет РФ </w:t>
      </w:r>
    </w:p>
    <w:p w14:paraId="6D8A9EE3" w14:textId="77777777" w:rsidR="000F4C2C" w:rsidRPr="00C04BE2" w:rsidRDefault="000F4C2C" w:rsidP="00EB26DA">
      <w:pPr>
        <w:pStyle w:val="ae"/>
        <w:jc w:val="center"/>
        <w:rPr>
          <w:rFonts w:ascii="Garamond" w:hAnsi="Garamond"/>
          <w:b/>
          <w:sz w:val="28"/>
          <w:szCs w:val="28"/>
        </w:rPr>
      </w:pPr>
      <w:r w:rsidRPr="00C04BE2">
        <w:rPr>
          <w:rFonts w:ascii="Garamond" w:hAnsi="Garamond"/>
          <w:b/>
          <w:sz w:val="28"/>
          <w:szCs w:val="28"/>
        </w:rPr>
        <w:t>за 1 квартал 2019-2020 гг. (данные ФНС России)</w:t>
      </w:r>
    </w:p>
    <w:p w14:paraId="79FE6CD6" w14:textId="77777777" w:rsidR="000F4C2C" w:rsidRPr="00C04BE2" w:rsidRDefault="000F4C2C" w:rsidP="00EB26DA">
      <w:pPr>
        <w:pStyle w:val="ae"/>
        <w:jc w:val="center"/>
        <w:rPr>
          <w:rFonts w:ascii="Garamond" w:hAnsi="Garamond"/>
          <w:sz w:val="28"/>
          <w:szCs w:val="28"/>
        </w:rPr>
      </w:pPr>
    </w:p>
    <w:tbl>
      <w:tblPr>
        <w:tblStyle w:val="ad"/>
        <w:tblW w:w="0" w:type="auto"/>
        <w:tblInd w:w="288" w:type="dxa"/>
        <w:tblLayout w:type="fixed"/>
        <w:tblLook w:val="04A0" w:firstRow="1" w:lastRow="0" w:firstColumn="1" w:lastColumn="0" w:noHBand="0" w:noVBand="1"/>
      </w:tblPr>
      <w:tblGrid>
        <w:gridCol w:w="4803"/>
        <w:gridCol w:w="1297"/>
        <w:gridCol w:w="1779"/>
        <w:gridCol w:w="1317"/>
      </w:tblGrid>
      <w:tr w:rsidR="000F4C2C" w:rsidRPr="00C04BE2" w14:paraId="4A13DEB1" w14:textId="77777777" w:rsidTr="000F4C2C">
        <w:trPr>
          <w:trHeight w:val="321"/>
        </w:trPr>
        <w:tc>
          <w:tcPr>
            <w:tcW w:w="4803" w:type="dxa"/>
            <w:vMerge w:val="restart"/>
          </w:tcPr>
          <w:p w14:paraId="30A2500B" w14:textId="77777777" w:rsidR="000F4C2C" w:rsidRPr="00C04BE2" w:rsidRDefault="000F4C2C" w:rsidP="00EB26DA">
            <w:pPr>
              <w:jc w:val="center"/>
              <w:rPr>
                <w:rFonts w:ascii="Garamond" w:hAnsi="Garamond"/>
                <w:b/>
                <w:sz w:val="28"/>
                <w:szCs w:val="28"/>
              </w:rPr>
            </w:pPr>
            <w:r w:rsidRPr="00C04BE2">
              <w:rPr>
                <w:rFonts w:ascii="Garamond" w:hAnsi="Garamond"/>
                <w:b/>
                <w:sz w:val="28"/>
                <w:szCs w:val="28"/>
              </w:rPr>
              <w:t>Виды налогов</w:t>
            </w:r>
          </w:p>
        </w:tc>
        <w:tc>
          <w:tcPr>
            <w:tcW w:w="4393" w:type="dxa"/>
            <w:gridSpan w:val="3"/>
          </w:tcPr>
          <w:p w14:paraId="5DE58B0A" w14:textId="77777777" w:rsidR="000F4C2C" w:rsidRPr="00C04BE2" w:rsidRDefault="000F4C2C" w:rsidP="00EB26DA">
            <w:pPr>
              <w:jc w:val="center"/>
              <w:rPr>
                <w:rFonts w:ascii="Garamond" w:hAnsi="Garamond"/>
                <w:b/>
                <w:sz w:val="28"/>
                <w:szCs w:val="28"/>
              </w:rPr>
            </w:pPr>
            <w:r w:rsidRPr="00C04BE2">
              <w:rPr>
                <w:rFonts w:ascii="Garamond" w:hAnsi="Garamond"/>
                <w:b/>
                <w:sz w:val="28"/>
                <w:szCs w:val="28"/>
              </w:rPr>
              <w:t>1 квартал, млрд. руб.</w:t>
            </w:r>
          </w:p>
        </w:tc>
      </w:tr>
      <w:tr w:rsidR="000F4C2C" w:rsidRPr="00C04BE2" w14:paraId="5919EA68" w14:textId="77777777" w:rsidTr="000F4C2C">
        <w:trPr>
          <w:trHeight w:val="148"/>
        </w:trPr>
        <w:tc>
          <w:tcPr>
            <w:tcW w:w="4803" w:type="dxa"/>
            <w:vMerge/>
          </w:tcPr>
          <w:p w14:paraId="775300E4" w14:textId="77777777" w:rsidR="000F4C2C" w:rsidRPr="00C04BE2" w:rsidRDefault="000F4C2C" w:rsidP="00EB26DA">
            <w:pPr>
              <w:rPr>
                <w:rFonts w:ascii="Garamond" w:hAnsi="Garamond"/>
                <w:sz w:val="28"/>
                <w:szCs w:val="28"/>
              </w:rPr>
            </w:pPr>
          </w:p>
        </w:tc>
        <w:tc>
          <w:tcPr>
            <w:tcW w:w="1297" w:type="dxa"/>
          </w:tcPr>
          <w:p w14:paraId="46562DCD" w14:textId="77777777" w:rsidR="000F4C2C" w:rsidRPr="00C04BE2" w:rsidRDefault="000F4C2C" w:rsidP="00EB26DA">
            <w:pPr>
              <w:jc w:val="center"/>
              <w:rPr>
                <w:rFonts w:ascii="Garamond" w:hAnsi="Garamond"/>
                <w:b/>
                <w:sz w:val="28"/>
                <w:szCs w:val="28"/>
              </w:rPr>
            </w:pPr>
            <w:r w:rsidRPr="00C04BE2">
              <w:rPr>
                <w:rFonts w:ascii="Garamond" w:hAnsi="Garamond"/>
                <w:b/>
                <w:sz w:val="28"/>
                <w:szCs w:val="28"/>
              </w:rPr>
              <w:t>2019</w:t>
            </w:r>
          </w:p>
        </w:tc>
        <w:tc>
          <w:tcPr>
            <w:tcW w:w="1779" w:type="dxa"/>
          </w:tcPr>
          <w:p w14:paraId="7327FECA" w14:textId="77777777" w:rsidR="000F4C2C" w:rsidRPr="00C04BE2" w:rsidRDefault="000F4C2C" w:rsidP="00EB26DA">
            <w:pPr>
              <w:jc w:val="center"/>
              <w:rPr>
                <w:rFonts w:ascii="Garamond" w:hAnsi="Garamond"/>
                <w:b/>
                <w:sz w:val="28"/>
                <w:szCs w:val="28"/>
              </w:rPr>
            </w:pPr>
            <w:r w:rsidRPr="00C04BE2">
              <w:rPr>
                <w:rFonts w:ascii="Garamond" w:hAnsi="Garamond"/>
                <w:b/>
                <w:sz w:val="28"/>
                <w:szCs w:val="28"/>
              </w:rPr>
              <w:t>2020</w:t>
            </w:r>
          </w:p>
        </w:tc>
        <w:tc>
          <w:tcPr>
            <w:tcW w:w="1317" w:type="dxa"/>
          </w:tcPr>
          <w:p w14:paraId="60668C1C" w14:textId="77777777" w:rsidR="000F4C2C" w:rsidRPr="00C04BE2" w:rsidRDefault="000F4C2C" w:rsidP="00EB26DA">
            <w:pPr>
              <w:jc w:val="center"/>
              <w:rPr>
                <w:rFonts w:ascii="Garamond" w:hAnsi="Garamond"/>
                <w:b/>
                <w:sz w:val="28"/>
                <w:szCs w:val="28"/>
              </w:rPr>
            </w:pPr>
            <w:r w:rsidRPr="00C04BE2">
              <w:rPr>
                <w:rFonts w:ascii="Garamond" w:hAnsi="Garamond"/>
                <w:b/>
                <w:sz w:val="28"/>
                <w:szCs w:val="28"/>
              </w:rPr>
              <w:t>темп %</w:t>
            </w:r>
          </w:p>
        </w:tc>
      </w:tr>
      <w:tr w:rsidR="000F4C2C" w:rsidRPr="00C04BE2" w14:paraId="628C50C9" w14:textId="77777777" w:rsidTr="000F4C2C">
        <w:trPr>
          <w:trHeight w:val="321"/>
        </w:trPr>
        <w:tc>
          <w:tcPr>
            <w:tcW w:w="4803" w:type="dxa"/>
          </w:tcPr>
          <w:p w14:paraId="5242889F" w14:textId="77777777" w:rsidR="000F4C2C" w:rsidRPr="00C04BE2" w:rsidRDefault="000F4C2C" w:rsidP="00EB26DA">
            <w:pPr>
              <w:rPr>
                <w:rFonts w:ascii="Garamond" w:hAnsi="Garamond"/>
                <w:sz w:val="28"/>
                <w:szCs w:val="28"/>
              </w:rPr>
            </w:pPr>
            <w:r w:rsidRPr="00C04BE2">
              <w:rPr>
                <w:rFonts w:ascii="Garamond" w:hAnsi="Garamond"/>
                <w:sz w:val="28"/>
                <w:szCs w:val="28"/>
              </w:rPr>
              <w:t>НДПИ</w:t>
            </w:r>
          </w:p>
        </w:tc>
        <w:tc>
          <w:tcPr>
            <w:tcW w:w="1297" w:type="dxa"/>
            <w:vAlign w:val="center"/>
          </w:tcPr>
          <w:p w14:paraId="5D802ABB" w14:textId="77777777" w:rsidR="000F4C2C" w:rsidRPr="00C04BE2" w:rsidRDefault="000F4C2C" w:rsidP="00EB26DA">
            <w:pPr>
              <w:rPr>
                <w:rFonts w:ascii="Garamond" w:hAnsi="Garamond"/>
                <w:sz w:val="28"/>
                <w:szCs w:val="28"/>
              </w:rPr>
            </w:pPr>
            <w:r w:rsidRPr="00C04BE2">
              <w:rPr>
                <w:rFonts w:ascii="Garamond" w:hAnsi="Garamond"/>
                <w:sz w:val="28"/>
                <w:szCs w:val="28"/>
              </w:rPr>
              <w:t>1 478,3</w:t>
            </w:r>
          </w:p>
        </w:tc>
        <w:tc>
          <w:tcPr>
            <w:tcW w:w="1779" w:type="dxa"/>
            <w:vAlign w:val="center"/>
          </w:tcPr>
          <w:p w14:paraId="18F42226" w14:textId="77777777" w:rsidR="000F4C2C" w:rsidRPr="00C04BE2" w:rsidRDefault="000F4C2C" w:rsidP="00EB26DA">
            <w:pPr>
              <w:rPr>
                <w:rFonts w:ascii="Garamond" w:hAnsi="Garamond"/>
                <w:sz w:val="28"/>
                <w:szCs w:val="28"/>
              </w:rPr>
            </w:pPr>
            <w:r w:rsidRPr="00C04BE2">
              <w:rPr>
                <w:rFonts w:ascii="Garamond" w:hAnsi="Garamond"/>
                <w:sz w:val="28"/>
                <w:szCs w:val="28"/>
              </w:rPr>
              <w:t>1 456,0</w:t>
            </w:r>
          </w:p>
        </w:tc>
        <w:tc>
          <w:tcPr>
            <w:tcW w:w="1317" w:type="dxa"/>
          </w:tcPr>
          <w:p w14:paraId="68CED9F4" w14:textId="77777777" w:rsidR="000F4C2C" w:rsidRPr="00C04BE2" w:rsidRDefault="000F4C2C" w:rsidP="00EB26DA">
            <w:pPr>
              <w:rPr>
                <w:rFonts w:ascii="Garamond" w:hAnsi="Garamond"/>
                <w:sz w:val="28"/>
                <w:szCs w:val="28"/>
              </w:rPr>
            </w:pPr>
            <w:r w:rsidRPr="00C04BE2">
              <w:rPr>
                <w:rFonts w:ascii="Garamond" w:hAnsi="Garamond"/>
                <w:sz w:val="28"/>
                <w:szCs w:val="28"/>
              </w:rPr>
              <w:t>98,5</w:t>
            </w:r>
          </w:p>
        </w:tc>
      </w:tr>
      <w:tr w:rsidR="000F4C2C" w:rsidRPr="00C04BE2" w14:paraId="4CB16D43" w14:textId="77777777" w:rsidTr="000F4C2C">
        <w:trPr>
          <w:trHeight w:val="321"/>
        </w:trPr>
        <w:tc>
          <w:tcPr>
            <w:tcW w:w="4803" w:type="dxa"/>
          </w:tcPr>
          <w:p w14:paraId="3C04257B" w14:textId="77777777" w:rsidR="000F4C2C" w:rsidRPr="00C04BE2" w:rsidRDefault="000F4C2C" w:rsidP="00EB26DA">
            <w:pPr>
              <w:rPr>
                <w:rFonts w:ascii="Garamond" w:hAnsi="Garamond"/>
                <w:sz w:val="28"/>
                <w:szCs w:val="28"/>
              </w:rPr>
            </w:pPr>
            <w:r w:rsidRPr="00C04BE2">
              <w:rPr>
                <w:rFonts w:ascii="Garamond" w:hAnsi="Garamond"/>
                <w:sz w:val="28"/>
                <w:szCs w:val="28"/>
              </w:rPr>
              <w:t>Налог на прибыль</w:t>
            </w:r>
          </w:p>
        </w:tc>
        <w:tc>
          <w:tcPr>
            <w:tcW w:w="1297" w:type="dxa"/>
            <w:vAlign w:val="center"/>
          </w:tcPr>
          <w:p w14:paraId="061EC032" w14:textId="77777777" w:rsidR="000F4C2C" w:rsidRPr="00C04BE2" w:rsidRDefault="000F4C2C" w:rsidP="00EB26DA">
            <w:pPr>
              <w:rPr>
                <w:rFonts w:ascii="Garamond" w:hAnsi="Garamond"/>
                <w:sz w:val="28"/>
                <w:szCs w:val="28"/>
              </w:rPr>
            </w:pPr>
            <w:r w:rsidRPr="00C04BE2">
              <w:rPr>
                <w:rFonts w:ascii="Garamond" w:hAnsi="Garamond"/>
                <w:sz w:val="28"/>
                <w:szCs w:val="28"/>
              </w:rPr>
              <w:t>1 136,9</w:t>
            </w:r>
          </w:p>
        </w:tc>
        <w:tc>
          <w:tcPr>
            <w:tcW w:w="1779" w:type="dxa"/>
            <w:vAlign w:val="center"/>
          </w:tcPr>
          <w:p w14:paraId="64BFEFD7" w14:textId="77777777" w:rsidR="000F4C2C" w:rsidRPr="00C04BE2" w:rsidRDefault="000F4C2C" w:rsidP="00EB26DA">
            <w:pPr>
              <w:rPr>
                <w:rFonts w:ascii="Garamond" w:hAnsi="Garamond"/>
                <w:sz w:val="28"/>
                <w:szCs w:val="28"/>
              </w:rPr>
            </w:pPr>
            <w:r w:rsidRPr="00C04BE2">
              <w:rPr>
                <w:rFonts w:ascii="Garamond" w:hAnsi="Garamond"/>
                <w:sz w:val="28"/>
                <w:szCs w:val="28"/>
              </w:rPr>
              <w:t>1 203,9</w:t>
            </w:r>
          </w:p>
        </w:tc>
        <w:tc>
          <w:tcPr>
            <w:tcW w:w="1317" w:type="dxa"/>
          </w:tcPr>
          <w:p w14:paraId="3260F55B" w14:textId="77777777" w:rsidR="000F4C2C" w:rsidRPr="00C04BE2" w:rsidRDefault="000F4C2C" w:rsidP="00EB26DA">
            <w:pPr>
              <w:rPr>
                <w:rFonts w:ascii="Garamond" w:hAnsi="Garamond"/>
                <w:sz w:val="28"/>
                <w:szCs w:val="28"/>
              </w:rPr>
            </w:pPr>
            <w:r w:rsidRPr="00C04BE2">
              <w:rPr>
                <w:rFonts w:ascii="Garamond" w:hAnsi="Garamond"/>
                <w:sz w:val="28"/>
                <w:szCs w:val="28"/>
              </w:rPr>
              <w:t>105,9</w:t>
            </w:r>
          </w:p>
        </w:tc>
      </w:tr>
      <w:tr w:rsidR="000F4C2C" w:rsidRPr="00C04BE2" w14:paraId="65C865B4" w14:textId="77777777" w:rsidTr="000F4C2C">
        <w:trPr>
          <w:trHeight w:val="321"/>
        </w:trPr>
        <w:tc>
          <w:tcPr>
            <w:tcW w:w="4803" w:type="dxa"/>
          </w:tcPr>
          <w:p w14:paraId="4DB98EF0" w14:textId="77777777" w:rsidR="000F4C2C" w:rsidRPr="00C04BE2" w:rsidRDefault="000F4C2C" w:rsidP="00EB26DA">
            <w:pPr>
              <w:rPr>
                <w:rFonts w:ascii="Garamond" w:hAnsi="Garamond"/>
                <w:sz w:val="28"/>
                <w:szCs w:val="28"/>
              </w:rPr>
            </w:pPr>
            <w:r w:rsidRPr="00C04BE2">
              <w:rPr>
                <w:rFonts w:ascii="Garamond" w:hAnsi="Garamond"/>
                <w:sz w:val="28"/>
                <w:szCs w:val="28"/>
              </w:rPr>
              <w:t>НДС</w:t>
            </w:r>
          </w:p>
        </w:tc>
        <w:tc>
          <w:tcPr>
            <w:tcW w:w="1297" w:type="dxa"/>
            <w:vAlign w:val="center"/>
          </w:tcPr>
          <w:p w14:paraId="62AD60BB" w14:textId="77777777" w:rsidR="000F4C2C" w:rsidRPr="00C04BE2" w:rsidRDefault="000F4C2C" w:rsidP="00EB26DA">
            <w:pPr>
              <w:rPr>
                <w:rFonts w:ascii="Garamond" w:hAnsi="Garamond"/>
                <w:sz w:val="28"/>
                <w:szCs w:val="28"/>
              </w:rPr>
            </w:pPr>
            <w:r w:rsidRPr="00C04BE2">
              <w:rPr>
                <w:rFonts w:ascii="Garamond" w:hAnsi="Garamond"/>
                <w:sz w:val="28"/>
                <w:szCs w:val="28"/>
              </w:rPr>
              <w:t>1 062,1</w:t>
            </w:r>
          </w:p>
        </w:tc>
        <w:tc>
          <w:tcPr>
            <w:tcW w:w="1779" w:type="dxa"/>
            <w:vAlign w:val="center"/>
          </w:tcPr>
          <w:p w14:paraId="3064D414" w14:textId="77777777" w:rsidR="000F4C2C" w:rsidRPr="00C04BE2" w:rsidRDefault="000F4C2C" w:rsidP="00EB26DA">
            <w:pPr>
              <w:rPr>
                <w:rFonts w:ascii="Garamond" w:hAnsi="Garamond"/>
                <w:sz w:val="28"/>
                <w:szCs w:val="28"/>
              </w:rPr>
            </w:pPr>
            <w:r w:rsidRPr="00C04BE2">
              <w:rPr>
                <w:rFonts w:ascii="Garamond" w:hAnsi="Garamond"/>
                <w:sz w:val="28"/>
                <w:szCs w:val="28"/>
              </w:rPr>
              <w:t>1 116,2</w:t>
            </w:r>
          </w:p>
        </w:tc>
        <w:tc>
          <w:tcPr>
            <w:tcW w:w="1317" w:type="dxa"/>
          </w:tcPr>
          <w:p w14:paraId="2728DD8E" w14:textId="77777777" w:rsidR="000F4C2C" w:rsidRPr="00C04BE2" w:rsidRDefault="000F4C2C" w:rsidP="00EB26DA">
            <w:pPr>
              <w:rPr>
                <w:rFonts w:ascii="Garamond" w:hAnsi="Garamond"/>
                <w:sz w:val="28"/>
                <w:szCs w:val="28"/>
              </w:rPr>
            </w:pPr>
            <w:r w:rsidRPr="00C04BE2">
              <w:rPr>
                <w:rFonts w:ascii="Garamond" w:hAnsi="Garamond"/>
                <w:sz w:val="28"/>
                <w:szCs w:val="28"/>
              </w:rPr>
              <w:t>105,1</w:t>
            </w:r>
          </w:p>
        </w:tc>
      </w:tr>
      <w:tr w:rsidR="000F4C2C" w:rsidRPr="00C04BE2" w14:paraId="77FA10CE" w14:textId="77777777" w:rsidTr="000F4C2C">
        <w:trPr>
          <w:trHeight w:val="321"/>
        </w:trPr>
        <w:tc>
          <w:tcPr>
            <w:tcW w:w="4803" w:type="dxa"/>
          </w:tcPr>
          <w:p w14:paraId="53F2916B" w14:textId="77777777" w:rsidR="000F4C2C" w:rsidRPr="00C04BE2" w:rsidRDefault="000F4C2C" w:rsidP="00EB26DA">
            <w:pPr>
              <w:rPr>
                <w:rFonts w:ascii="Garamond" w:hAnsi="Garamond"/>
                <w:sz w:val="28"/>
                <w:szCs w:val="28"/>
              </w:rPr>
            </w:pPr>
            <w:r w:rsidRPr="00C04BE2">
              <w:rPr>
                <w:rFonts w:ascii="Garamond" w:hAnsi="Garamond"/>
                <w:sz w:val="28"/>
                <w:szCs w:val="28"/>
              </w:rPr>
              <w:t>НДФЛ</w:t>
            </w:r>
          </w:p>
        </w:tc>
        <w:tc>
          <w:tcPr>
            <w:tcW w:w="1297" w:type="dxa"/>
            <w:vAlign w:val="center"/>
          </w:tcPr>
          <w:p w14:paraId="1BC18659" w14:textId="77777777" w:rsidR="000F4C2C" w:rsidRPr="00C04BE2" w:rsidRDefault="000F4C2C" w:rsidP="00EB26DA">
            <w:pPr>
              <w:rPr>
                <w:rFonts w:ascii="Garamond" w:hAnsi="Garamond"/>
                <w:sz w:val="28"/>
                <w:szCs w:val="28"/>
              </w:rPr>
            </w:pPr>
            <w:r w:rsidRPr="00C04BE2">
              <w:rPr>
                <w:rFonts w:ascii="Garamond" w:hAnsi="Garamond"/>
                <w:sz w:val="28"/>
                <w:szCs w:val="28"/>
              </w:rPr>
              <w:t>808,6</w:t>
            </w:r>
          </w:p>
        </w:tc>
        <w:tc>
          <w:tcPr>
            <w:tcW w:w="1779" w:type="dxa"/>
            <w:vAlign w:val="center"/>
          </w:tcPr>
          <w:p w14:paraId="6A4BBAF4" w14:textId="77777777" w:rsidR="000F4C2C" w:rsidRPr="00C04BE2" w:rsidRDefault="000F4C2C" w:rsidP="00EB26DA">
            <w:pPr>
              <w:rPr>
                <w:rFonts w:ascii="Garamond" w:hAnsi="Garamond"/>
                <w:sz w:val="28"/>
                <w:szCs w:val="28"/>
              </w:rPr>
            </w:pPr>
            <w:r w:rsidRPr="00C04BE2">
              <w:rPr>
                <w:rFonts w:ascii="Garamond" w:hAnsi="Garamond"/>
                <w:sz w:val="28"/>
                <w:szCs w:val="28"/>
              </w:rPr>
              <w:t>905,5</w:t>
            </w:r>
          </w:p>
        </w:tc>
        <w:tc>
          <w:tcPr>
            <w:tcW w:w="1317" w:type="dxa"/>
          </w:tcPr>
          <w:p w14:paraId="76500C70" w14:textId="77777777" w:rsidR="000F4C2C" w:rsidRPr="00C04BE2" w:rsidRDefault="000F4C2C" w:rsidP="00EB26DA">
            <w:pPr>
              <w:rPr>
                <w:rFonts w:ascii="Garamond" w:hAnsi="Garamond"/>
                <w:sz w:val="28"/>
                <w:szCs w:val="28"/>
              </w:rPr>
            </w:pPr>
            <w:r w:rsidRPr="00C04BE2">
              <w:rPr>
                <w:rFonts w:ascii="Garamond" w:hAnsi="Garamond"/>
                <w:sz w:val="28"/>
                <w:szCs w:val="28"/>
              </w:rPr>
              <w:t>112,0</w:t>
            </w:r>
          </w:p>
        </w:tc>
      </w:tr>
      <w:tr w:rsidR="000F4C2C" w:rsidRPr="00C04BE2" w14:paraId="58DEA8BA" w14:textId="77777777" w:rsidTr="000F4C2C">
        <w:trPr>
          <w:trHeight w:val="321"/>
        </w:trPr>
        <w:tc>
          <w:tcPr>
            <w:tcW w:w="4803" w:type="dxa"/>
          </w:tcPr>
          <w:p w14:paraId="4F63B33C" w14:textId="77777777" w:rsidR="000F4C2C" w:rsidRPr="00C04BE2" w:rsidRDefault="000F4C2C" w:rsidP="00EB26DA">
            <w:pPr>
              <w:rPr>
                <w:rFonts w:ascii="Garamond" w:hAnsi="Garamond"/>
                <w:sz w:val="28"/>
                <w:szCs w:val="28"/>
              </w:rPr>
            </w:pPr>
            <w:r w:rsidRPr="00C04BE2">
              <w:rPr>
                <w:rFonts w:ascii="Garamond" w:hAnsi="Garamond"/>
                <w:sz w:val="28"/>
                <w:szCs w:val="28"/>
              </w:rPr>
              <w:t>Имущественные налоги</w:t>
            </w:r>
          </w:p>
        </w:tc>
        <w:tc>
          <w:tcPr>
            <w:tcW w:w="1297" w:type="dxa"/>
            <w:vAlign w:val="center"/>
          </w:tcPr>
          <w:p w14:paraId="3EDFDD23" w14:textId="77777777" w:rsidR="000F4C2C" w:rsidRPr="00C04BE2" w:rsidRDefault="000F4C2C" w:rsidP="00EB26DA">
            <w:pPr>
              <w:rPr>
                <w:rFonts w:ascii="Garamond" w:hAnsi="Garamond"/>
                <w:sz w:val="28"/>
                <w:szCs w:val="28"/>
              </w:rPr>
            </w:pPr>
            <w:r w:rsidRPr="00C04BE2">
              <w:rPr>
                <w:rFonts w:ascii="Garamond" w:hAnsi="Garamond"/>
                <w:sz w:val="28"/>
                <w:szCs w:val="28"/>
              </w:rPr>
              <w:t>193,8</w:t>
            </w:r>
          </w:p>
        </w:tc>
        <w:tc>
          <w:tcPr>
            <w:tcW w:w="1779" w:type="dxa"/>
            <w:vAlign w:val="center"/>
          </w:tcPr>
          <w:p w14:paraId="2D33677A" w14:textId="77777777" w:rsidR="000F4C2C" w:rsidRPr="00C04BE2" w:rsidRDefault="000F4C2C" w:rsidP="00EB26DA">
            <w:pPr>
              <w:rPr>
                <w:rFonts w:ascii="Garamond" w:hAnsi="Garamond"/>
                <w:sz w:val="28"/>
                <w:szCs w:val="28"/>
              </w:rPr>
            </w:pPr>
            <w:r w:rsidRPr="00C04BE2">
              <w:rPr>
                <w:rFonts w:ascii="Garamond" w:hAnsi="Garamond"/>
                <w:sz w:val="28"/>
                <w:szCs w:val="28"/>
              </w:rPr>
              <w:t>259,4</w:t>
            </w:r>
          </w:p>
        </w:tc>
        <w:tc>
          <w:tcPr>
            <w:tcW w:w="1317" w:type="dxa"/>
          </w:tcPr>
          <w:p w14:paraId="28156C0B" w14:textId="77777777" w:rsidR="000F4C2C" w:rsidRPr="00C04BE2" w:rsidRDefault="000F4C2C" w:rsidP="00EB26DA">
            <w:pPr>
              <w:rPr>
                <w:rFonts w:ascii="Garamond" w:hAnsi="Garamond"/>
                <w:sz w:val="28"/>
                <w:szCs w:val="28"/>
              </w:rPr>
            </w:pPr>
            <w:r w:rsidRPr="00C04BE2">
              <w:rPr>
                <w:rFonts w:ascii="Garamond" w:hAnsi="Garamond"/>
                <w:sz w:val="28"/>
                <w:szCs w:val="28"/>
              </w:rPr>
              <w:t>133,8</w:t>
            </w:r>
          </w:p>
        </w:tc>
      </w:tr>
      <w:tr w:rsidR="000F4C2C" w:rsidRPr="00C04BE2" w14:paraId="75A530C2" w14:textId="77777777" w:rsidTr="000F4C2C">
        <w:trPr>
          <w:trHeight w:val="332"/>
        </w:trPr>
        <w:tc>
          <w:tcPr>
            <w:tcW w:w="4803" w:type="dxa"/>
          </w:tcPr>
          <w:p w14:paraId="70FBD364" w14:textId="77777777" w:rsidR="000F4C2C" w:rsidRPr="00C04BE2" w:rsidRDefault="000F4C2C" w:rsidP="00EB26DA">
            <w:pPr>
              <w:rPr>
                <w:rFonts w:ascii="Garamond" w:hAnsi="Garamond"/>
                <w:sz w:val="28"/>
                <w:szCs w:val="28"/>
              </w:rPr>
            </w:pPr>
            <w:r w:rsidRPr="00C04BE2">
              <w:rPr>
                <w:rFonts w:ascii="Garamond" w:hAnsi="Garamond"/>
                <w:sz w:val="28"/>
                <w:szCs w:val="28"/>
              </w:rPr>
              <w:t>Акцизы</w:t>
            </w:r>
          </w:p>
        </w:tc>
        <w:tc>
          <w:tcPr>
            <w:tcW w:w="1297" w:type="dxa"/>
            <w:vAlign w:val="center"/>
          </w:tcPr>
          <w:p w14:paraId="07E98BC8" w14:textId="77777777" w:rsidR="000F4C2C" w:rsidRPr="00C04BE2" w:rsidRDefault="000F4C2C" w:rsidP="00EB26DA">
            <w:pPr>
              <w:rPr>
                <w:rFonts w:ascii="Garamond" w:hAnsi="Garamond"/>
                <w:sz w:val="28"/>
                <w:szCs w:val="28"/>
              </w:rPr>
            </w:pPr>
            <w:r w:rsidRPr="00C04BE2">
              <w:rPr>
                <w:rFonts w:ascii="Garamond" w:hAnsi="Garamond"/>
                <w:sz w:val="28"/>
                <w:szCs w:val="28"/>
              </w:rPr>
              <w:t>299,5</w:t>
            </w:r>
          </w:p>
        </w:tc>
        <w:tc>
          <w:tcPr>
            <w:tcW w:w="1779" w:type="dxa"/>
            <w:vAlign w:val="center"/>
          </w:tcPr>
          <w:p w14:paraId="25A4333A" w14:textId="77777777" w:rsidR="000F4C2C" w:rsidRPr="00C04BE2" w:rsidRDefault="000F4C2C" w:rsidP="00EB26DA">
            <w:pPr>
              <w:rPr>
                <w:rFonts w:ascii="Garamond" w:hAnsi="Garamond"/>
                <w:sz w:val="28"/>
                <w:szCs w:val="28"/>
              </w:rPr>
            </w:pPr>
            <w:r w:rsidRPr="00C04BE2">
              <w:rPr>
                <w:rFonts w:ascii="Garamond" w:hAnsi="Garamond"/>
                <w:sz w:val="28"/>
                <w:szCs w:val="28"/>
              </w:rPr>
              <w:t>296,0</w:t>
            </w:r>
          </w:p>
        </w:tc>
        <w:tc>
          <w:tcPr>
            <w:tcW w:w="1317" w:type="dxa"/>
          </w:tcPr>
          <w:p w14:paraId="274DFB0F" w14:textId="77777777" w:rsidR="000F4C2C" w:rsidRPr="00C04BE2" w:rsidRDefault="000F4C2C" w:rsidP="00EB26DA">
            <w:pPr>
              <w:rPr>
                <w:rFonts w:ascii="Garamond" w:hAnsi="Garamond"/>
                <w:sz w:val="28"/>
                <w:szCs w:val="28"/>
              </w:rPr>
            </w:pPr>
            <w:r w:rsidRPr="00C04BE2">
              <w:rPr>
                <w:rFonts w:ascii="Garamond" w:hAnsi="Garamond"/>
                <w:sz w:val="28"/>
                <w:szCs w:val="28"/>
              </w:rPr>
              <w:t>98,8</w:t>
            </w:r>
          </w:p>
        </w:tc>
      </w:tr>
    </w:tbl>
    <w:p w14:paraId="5D4C7929" w14:textId="77777777" w:rsidR="000F4C2C" w:rsidRPr="00C04BE2" w:rsidRDefault="000F4C2C" w:rsidP="00EB26DA">
      <w:pPr>
        <w:pStyle w:val="ae"/>
        <w:jc w:val="both"/>
        <w:rPr>
          <w:rFonts w:ascii="Garamond" w:hAnsi="Garamond"/>
          <w:sz w:val="28"/>
          <w:szCs w:val="28"/>
        </w:rPr>
      </w:pPr>
    </w:p>
    <w:p w14:paraId="4AE0A953" w14:textId="77777777" w:rsidR="00E94650" w:rsidRPr="00C04BE2" w:rsidRDefault="00E94650" w:rsidP="00E94650">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 xml:space="preserve">Хотя само увеличение нагрузки не велико, но даже небольшой прирост обязательных платежей из года в год в итоге выливается в существенные дополнительные расходы (особенно с учетом невысокой рентабельности) и снижение возможностей для инвестирования из-за высокой доли собственных средств в инвестициях в основной капитал. </w:t>
      </w:r>
    </w:p>
    <w:p w14:paraId="44451560" w14:textId="77777777" w:rsidR="000F4C2C" w:rsidRPr="00C04BE2" w:rsidRDefault="000F4C2C" w:rsidP="00EB26DA">
      <w:pPr>
        <w:ind w:firstLine="709"/>
        <w:jc w:val="both"/>
        <w:rPr>
          <w:rFonts w:ascii="Garamond" w:eastAsiaTheme="minorHAnsi" w:hAnsi="Garamond"/>
          <w:sz w:val="28"/>
          <w:szCs w:val="28"/>
          <w:lang w:eastAsia="en-US"/>
        </w:rPr>
      </w:pPr>
    </w:p>
    <w:p w14:paraId="134A801B" w14:textId="77777777" w:rsidR="000F4C2C" w:rsidRPr="00C04BE2" w:rsidRDefault="000F4C2C" w:rsidP="00EB26DA">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В структуре источников финансирования инвестиций в основной капитал устойчиво растёт доля собственных средств, причём в первом полугодии 2020 года она достигла 60,9 %, хотя ещё в 2010 году составляла 41 %.</w:t>
      </w:r>
    </w:p>
    <w:p w14:paraId="2C214E6C" w14:textId="78D877C9" w:rsidR="000F4C2C" w:rsidRPr="00C04BE2" w:rsidRDefault="000F4C2C" w:rsidP="000F4C2C">
      <w:pPr>
        <w:spacing w:line="312" w:lineRule="auto"/>
        <w:ind w:firstLine="709"/>
        <w:jc w:val="both"/>
        <w:rPr>
          <w:rFonts w:ascii="Garamond" w:eastAsiaTheme="minorHAnsi" w:hAnsi="Garamond"/>
          <w:sz w:val="28"/>
          <w:szCs w:val="28"/>
          <w:lang w:eastAsia="en-US"/>
        </w:rPr>
      </w:pPr>
    </w:p>
    <w:p w14:paraId="23785F52" w14:textId="5BED85A9" w:rsidR="00E94650" w:rsidRPr="00C04BE2" w:rsidRDefault="00E94650" w:rsidP="000F4C2C">
      <w:pPr>
        <w:spacing w:line="312" w:lineRule="auto"/>
        <w:ind w:firstLine="709"/>
        <w:jc w:val="both"/>
        <w:rPr>
          <w:rFonts w:ascii="Garamond" w:eastAsiaTheme="minorHAnsi" w:hAnsi="Garamond"/>
          <w:sz w:val="28"/>
          <w:szCs w:val="28"/>
          <w:lang w:eastAsia="en-US"/>
        </w:rPr>
      </w:pPr>
    </w:p>
    <w:p w14:paraId="31687539" w14:textId="29C31440" w:rsidR="00E94650" w:rsidRDefault="00E94650" w:rsidP="000F4C2C">
      <w:pPr>
        <w:spacing w:line="312" w:lineRule="auto"/>
        <w:ind w:firstLine="709"/>
        <w:jc w:val="both"/>
        <w:rPr>
          <w:rFonts w:ascii="Garamond" w:eastAsiaTheme="minorHAnsi" w:hAnsi="Garamond"/>
          <w:sz w:val="28"/>
          <w:szCs w:val="28"/>
          <w:lang w:eastAsia="en-US"/>
        </w:rPr>
      </w:pPr>
    </w:p>
    <w:p w14:paraId="3BECA3EE" w14:textId="77777777" w:rsidR="00697975" w:rsidRPr="00C04BE2" w:rsidRDefault="00697975" w:rsidP="000F4C2C">
      <w:pPr>
        <w:spacing w:line="312" w:lineRule="auto"/>
        <w:ind w:firstLine="709"/>
        <w:jc w:val="both"/>
        <w:rPr>
          <w:rFonts w:ascii="Garamond" w:eastAsiaTheme="minorHAnsi" w:hAnsi="Garamond"/>
          <w:sz w:val="28"/>
          <w:szCs w:val="28"/>
          <w:lang w:eastAsia="en-US"/>
        </w:rPr>
      </w:pPr>
    </w:p>
    <w:p w14:paraId="14CA4B12" w14:textId="77777777" w:rsidR="000F4C2C" w:rsidRPr="00C04BE2" w:rsidRDefault="000F4C2C" w:rsidP="000F4C2C">
      <w:pPr>
        <w:jc w:val="center"/>
        <w:rPr>
          <w:rFonts w:ascii="Garamond" w:eastAsiaTheme="minorHAnsi" w:hAnsi="Garamond"/>
          <w:b/>
          <w:sz w:val="28"/>
          <w:szCs w:val="28"/>
          <w:lang w:eastAsia="en-US"/>
        </w:rPr>
      </w:pPr>
      <w:r w:rsidRPr="00C04BE2">
        <w:rPr>
          <w:rFonts w:ascii="Garamond" w:eastAsiaTheme="minorHAnsi" w:hAnsi="Garamond"/>
          <w:b/>
          <w:sz w:val="28"/>
          <w:szCs w:val="28"/>
          <w:lang w:eastAsia="en-US"/>
        </w:rPr>
        <w:lastRenderedPageBreak/>
        <w:t>Структура инвестиций в основной капитал по источникам инвестиций</w:t>
      </w:r>
    </w:p>
    <w:p w14:paraId="2FAEB01B" w14:textId="77777777" w:rsidR="000F4C2C" w:rsidRPr="00C04BE2" w:rsidRDefault="000F4C2C" w:rsidP="000F4C2C">
      <w:pPr>
        <w:jc w:val="both"/>
        <w:rPr>
          <w:rFonts w:ascii="Garamond" w:eastAsiaTheme="minorHAnsi" w:hAnsi="Garamond"/>
          <w:sz w:val="28"/>
          <w:szCs w:val="28"/>
          <w:lang w:eastAsia="en-US"/>
        </w:rPr>
      </w:pPr>
      <w:r w:rsidRPr="00C04BE2">
        <w:rPr>
          <w:rFonts w:ascii="Garamond" w:eastAsiaTheme="minorHAnsi" w:hAnsi="Garamond"/>
          <w:noProof/>
          <w:sz w:val="28"/>
          <w:szCs w:val="28"/>
        </w:rPr>
        <w:drawing>
          <wp:inline distT="0" distB="0" distL="0" distR="0" wp14:anchorId="4D077C7F" wp14:editId="333FEB5B">
            <wp:extent cx="6244590" cy="1663065"/>
            <wp:effectExtent l="19050" t="0" r="22860" b="0"/>
            <wp:docPr id="164" name="Диаграмма 1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BA6C8FC" w14:textId="77777777" w:rsidR="000F4C2C" w:rsidRPr="00C04BE2" w:rsidRDefault="000F4C2C" w:rsidP="000F4C2C">
      <w:pPr>
        <w:rPr>
          <w:rFonts w:ascii="Garamond" w:hAnsi="Garamond"/>
          <w:i/>
        </w:rPr>
      </w:pPr>
      <w:r w:rsidRPr="00C04BE2">
        <w:rPr>
          <w:rFonts w:ascii="Garamond" w:hAnsi="Garamond"/>
          <w:i/>
        </w:rPr>
        <w:t>Росстат, 2020 г. – 1 полугодие</w:t>
      </w:r>
    </w:p>
    <w:p w14:paraId="785E568F" w14:textId="77777777" w:rsidR="00897A77" w:rsidRPr="00697975" w:rsidRDefault="00897A77" w:rsidP="00697975">
      <w:pPr>
        <w:ind w:firstLine="708"/>
        <w:jc w:val="both"/>
        <w:rPr>
          <w:rFonts w:ascii="Garamond" w:eastAsiaTheme="minorHAnsi" w:hAnsi="Garamond"/>
          <w:sz w:val="28"/>
          <w:szCs w:val="28"/>
          <w:lang w:eastAsia="en-US"/>
        </w:rPr>
      </w:pPr>
    </w:p>
    <w:p w14:paraId="7A0CE308" w14:textId="38F05E4C" w:rsidR="00852E81" w:rsidRPr="00C04BE2" w:rsidRDefault="00852E81" w:rsidP="00245707">
      <w:pPr>
        <w:pStyle w:val="1"/>
        <w:rPr>
          <w:rFonts w:ascii="Garamond" w:eastAsiaTheme="minorHAnsi" w:hAnsi="Garamond"/>
          <w:lang w:eastAsia="en-US"/>
        </w:rPr>
      </w:pPr>
      <w:bookmarkStart w:id="11" w:name="_Toc52745681"/>
      <w:r w:rsidRPr="00C04BE2">
        <w:rPr>
          <w:rFonts w:ascii="Garamond" w:eastAsiaTheme="minorHAnsi" w:hAnsi="Garamond"/>
          <w:lang w:eastAsia="en-US"/>
        </w:rPr>
        <w:t>Общая оценка делового климата</w:t>
      </w:r>
      <w:bookmarkEnd w:id="2"/>
      <w:bookmarkEnd w:id="11"/>
    </w:p>
    <w:p w14:paraId="5B6EB366" w14:textId="77777777" w:rsidR="00852E81" w:rsidRPr="00C04BE2" w:rsidRDefault="00852E81" w:rsidP="00245707">
      <w:pPr>
        <w:jc w:val="both"/>
        <w:rPr>
          <w:rFonts w:ascii="Garamond" w:eastAsiaTheme="minorHAnsi" w:hAnsi="Garamond"/>
          <w:sz w:val="28"/>
          <w:szCs w:val="28"/>
          <w:lang w:eastAsia="en-US"/>
        </w:rPr>
      </w:pPr>
    </w:p>
    <w:p w14:paraId="76D31583" w14:textId="77777777" w:rsidR="00852E81" w:rsidRPr="00C04BE2" w:rsidRDefault="00852E81" w:rsidP="002167CD">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Состояние предпринимательского климата в России, по мнению 38% представителей бизнеса, в 2019 году не изменилось. 34,2% респондентов отметили некоторое ухудшение делового климата, а более четверти считают, что в 2019 году ситуация стала лучше.</w:t>
      </w:r>
    </w:p>
    <w:p w14:paraId="1AED40B2" w14:textId="77777777" w:rsidR="00852E81" w:rsidRPr="00C04BE2" w:rsidRDefault="00852E81" w:rsidP="002167CD">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При сопоставлении с данными за прошлый, 2018 год заметно, насколько бизнес стабилен в своих оценках: пусть доля нейтральных ответов выросла с 30,5% до 38% при одновременном снижении негативных оценок, статистический анализ показывает, что это различие не значимо.</w:t>
      </w:r>
    </w:p>
    <w:p w14:paraId="1AD7BB1E" w14:textId="77777777" w:rsidR="002D16BB" w:rsidRPr="00C04BE2" w:rsidRDefault="002D16BB" w:rsidP="002D16BB">
      <w:pPr>
        <w:jc w:val="center"/>
        <w:rPr>
          <w:rFonts w:ascii="Garamond" w:eastAsiaTheme="minorHAnsi" w:hAnsi="Garamond"/>
          <w:b/>
          <w:sz w:val="28"/>
          <w:szCs w:val="28"/>
          <w:lang w:eastAsia="en-US"/>
        </w:rPr>
      </w:pPr>
      <w:r w:rsidRPr="00C04BE2">
        <w:rPr>
          <w:rFonts w:ascii="Garamond" w:eastAsiaTheme="minorHAnsi" w:hAnsi="Garamond"/>
          <w:b/>
          <w:sz w:val="28"/>
          <w:szCs w:val="28"/>
          <w:lang w:eastAsia="en-US"/>
        </w:rPr>
        <w:t>Динамика оценки состояния деловой среды в 2018</w:t>
      </w:r>
      <w:r w:rsidRPr="00C04BE2">
        <w:rPr>
          <w:rFonts w:ascii="Garamond" w:eastAsiaTheme="minorHAnsi" w:hAnsi="Garamond"/>
          <w:sz w:val="28"/>
          <w:szCs w:val="28"/>
          <w:lang w:eastAsia="en-US"/>
        </w:rPr>
        <w:t xml:space="preserve"> </w:t>
      </w:r>
      <w:r w:rsidRPr="00C04BE2">
        <w:rPr>
          <w:rFonts w:ascii="Garamond" w:eastAsiaTheme="minorHAnsi" w:hAnsi="Garamond"/>
          <w:b/>
          <w:sz w:val="28"/>
          <w:szCs w:val="28"/>
          <w:lang w:eastAsia="en-US"/>
        </w:rPr>
        <w:t>– 2019 годах, %</w:t>
      </w:r>
    </w:p>
    <w:p w14:paraId="61322831" w14:textId="77777777" w:rsidR="002D16BB" w:rsidRPr="00C04BE2" w:rsidRDefault="002D16BB" w:rsidP="002D16BB">
      <w:pPr>
        <w:spacing w:line="360" w:lineRule="auto"/>
        <w:rPr>
          <w:rFonts w:ascii="Garamond" w:eastAsiaTheme="minorHAnsi" w:hAnsi="Garamond"/>
          <w:sz w:val="28"/>
          <w:szCs w:val="28"/>
          <w:lang w:eastAsia="en-US"/>
        </w:rPr>
      </w:pPr>
      <w:r w:rsidRPr="00C04BE2">
        <w:rPr>
          <w:rFonts w:ascii="Garamond" w:hAnsi="Garamond"/>
          <w:bCs/>
          <w:noProof/>
        </w:rPr>
        <w:drawing>
          <wp:inline distT="0" distB="0" distL="0" distR="0" wp14:anchorId="04CCC608" wp14:editId="3ED5C360">
            <wp:extent cx="5944511" cy="1689652"/>
            <wp:effectExtent l="0" t="0" r="18415" b="25400"/>
            <wp:docPr id="111"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C04BE2">
        <w:rPr>
          <w:rFonts w:ascii="Garamond" w:eastAsiaTheme="minorHAnsi" w:hAnsi="Garamond"/>
          <w:sz w:val="28"/>
          <w:szCs w:val="28"/>
          <w:lang w:eastAsia="en-US"/>
        </w:rPr>
        <w:t xml:space="preserve"> </w:t>
      </w:r>
    </w:p>
    <w:p w14:paraId="5C3CC5C7" w14:textId="77777777" w:rsidR="00852E81" w:rsidRPr="00C04BE2" w:rsidRDefault="00852E81" w:rsidP="00245707">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 xml:space="preserve">В 2019 году более половины респондентов (51,7%) назвали развитие своих компаний успешным. Остальные участники разделились: четверть оценила деятельность организаций как стабильную, четверть выбрала ответы из негативного диапазона «скорее неуспешно» – «крайне неуспешно». </w:t>
      </w:r>
    </w:p>
    <w:p w14:paraId="227C454D" w14:textId="77777777" w:rsidR="002D16BB" w:rsidRPr="00C04BE2" w:rsidRDefault="002D16BB" w:rsidP="002D16BB">
      <w:pPr>
        <w:ind w:firstLine="709"/>
        <w:jc w:val="both"/>
        <w:rPr>
          <w:rFonts w:ascii="Garamond" w:eastAsiaTheme="minorHAnsi" w:hAnsi="Garamond"/>
          <w:sz w:val="28"/>
          <w:szCs w:val="28"/>
          <w:lang w:eastAsia="en-US"/>
        </w:rPr>
      </w:pPr>
    </w:p>
    <w:p w14:paraId="147B64EE" w14:textId="77777777" w:rsidR="002D16BB" w:rsidRPr="00C04BE2" w:rsidRDefault="002D16BB" w:rsidP="002D16BB">
      <w:pPr>
        <w:jc w:val="center"/>
        <w:rPr>
          <w:rFonts w:ascii="Garamond" w:eastAsiaTheme="minorHAnsi" w:hAnsi="Garamond"/>
          <w:b/>
          <w:sz w:val="28"/>
          <w:szCs w:val="28"/>
          <w:lang w:eastAsia="en-US"/>
        </w:rPr>
      </w:pPr>
      <w:r w:rsidRPr="00C04BE2">
        <w:rPr>
          <w:rFonts w:ascii="Garamond" w:eastAsiaTheme="minorHAnsi" w:hAnsi="Garamond"/>
          <w:b/>
          <w:sz w:val="28"/>
          <w:szCs w:val="28"/>
          <w:lang w:eastAsia="en-US"/>
        </w:rPr>
        <w:t>Оценки успешности развития компании в 2018</w:t>
      </w:r>
      <w:r w:rsidRPr="00C04BE2">
        <w:rPr>
          <w:rFonts w:ascii="Garamond" w:eastAsiaTheme="minorHAnsi" w:hAnsi="Garamond"/>
          <w:sz w:val="28"/>
          <w:szCs w:val="28"/>
          <w:lang w:eastAsia="en-US"/>
        </w:rPr>
        <w:t xml:space="preserve"> – </w:t>
      </w:r>
      <w:r w:rsidRPr="00C04BE2">
        <w:rPr>
          <w:rFonts w:ascii="Garamond" w:eastAsiaTheme="minorHAnsi" w:hAnsi="Garamond"/>
          <w:b/>
          <w:sz w:val="28"/>
          <w:szCs w:val="28"/>
          <w:lang w:eastAsia="en-US"/>
        </w:rPr>
        <w:t>2019 годах, %</w:t>
      </w:r>
    </w:p>
    <w:p w14:paraId="5CDBBCA6" w14:textId="77777777" w:rsidR="002D16BB" w:rsidRPr="00C04BE2" w:rsidRDefault="002D16BB" w:rsidP="002D16BB">
      <w:pPr>
        <w:rPr>
          <w:rFonts w:ascii="Garamond" w:eastAsiaTheme="minorHAnsi" w:hAnsi="Garamond"/>
          <w:b/>
          <w:sz w:val="28"/>
          <w:szCs w:val="28"/>
          <w:lang w:eastAsia="en-US"/>
        </w:rPr>
      </w:pPr>
      <w:r w:rsidRPr="00C04BE2">
        <w:rPr>
          <w:rFonts w:ascii="Garamond" w:eastAsiaTheme="minorHAnsi" w:hAnsi="Garamond"/>
          <w:noProof/>
          <w:sz w:val="28"/>
          <w:szCs w:val="28"/>
        </w:rPr>
        <w:drawing>
          <wp:inline distT="0" distB="0" distL="0" distR="0" wp14:anchorId="29B502A2" wp14:editId="2277E99E">
            <wp:extent cx="5956300" cy="1441450"/>
            <wp:effectExtent l="0" t="0" r="6350" b="6350"/>
            <wp:docPr id="114"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4E1235D" w14:textId="77777777" w:rsidR="002D16BB" w:rsidRPr="00C04BE2" w:rsidRDefault="002D16BB" w:rsidP="002D16BB">
      <w:pPr>
        <w:ind w:firstLine="709"/>
        <w:jc w:val="both"/>
        <w:rPr>
          <w:rFonts w:ascii="Garamond" w:eastAsiaTheme="minorHAnsi" w:hAnsi="Garamond"/>
          <w:sz w:val="28"/>
          <w:szCs w:val="28"/>
          <w:lang w:eastAsia="en-US"/>
        </w:rPr>
      </w:pPr>
    </w:p>
    <w:p w14:paraId="31B9E7BE" w14:textId="30AB3484" w:rsidR="007C6B07" w:rsidRPr="00C04BE2" w:rsidRDefault="007C6B07" w:rsidP="007C6B07">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lastRenderedPageBreak/>
        <w:t>Индекс деловой среды РСПП в 2019 году не демонстрировал высоких показателей и в большей степени соответствовал стагнации в экономике, чем росту (рост соответствует значениям выше 50 пунктов). В 2020 году ситуация серьезно ухудшилась. Если до конца марта наблюдалось плавное снижение значения сводного индекса, то в апреле он провалился до 34,6. И</w:t>
      </w:r>
      <w:r w:rsidR="00C825EC" w:rsidRPr="00C04BE2">
        <w:rPr>
          <w:rFonts w:ascii="Garamond" w:eastAsiaTheme="minorHAnsi" w:hAnsi="Garamond"/>
          <w:sz w:val="28"/>
          <w:szCs w:val="28"/>
          <w:lang w:eastAsia="en-US"/>
        </w:rPr>
        <w:t>,</w:t>
      </w:r>
      <w:r w:rsidRPr="00C04BE2">
        <w:rPr>
          <w:rFonts w:ascii="Garamond" w:eastAsiaTheme="minorHAnsi" w:hAnsi="Garamond"/>
          <w:sz w:val="28"/>
          <w:szCs w:val="28"/>
          <w:lang w:eastAsia="en-US"/>
        </w:rPr>
        <w:t xml:space="preserve"> хотя уже </w:t>
      </w:r>
      <w:r w:rsidR="00756B2F" w:rsidRPr="00C04BE2">
        <w:rPr>
          <w:rFonts w:ascii="Garamond" w:eastAsiaTheme="minorHAnsi" w:hAnsi="Garamond"/>
          <w:sz w:val="28"/>
          <w:szCs w:val="28"/>
          <w:lang w:eastAsia="en-US"/>
        </w:rPr>
        <w:t xml:space="preserve">в </w:t>
      </w:r>
      <w:r w:rsidRPr="00C04BE2">
        <w:rPr>
          <w:rFonts w:ascii="Garamond" w:eastAsiaTheme="minorHAnsi" w:hAnsi="Garamond"/>
          <w:sz w:val="28"/>
          <w:szCs w:val="28"/>
          <w:lang w:eastAsia="en-US"/>
        </w:rPr>
        <w:t xml:space="preserve">мае индекс незначительно вырос, </w:t>
      </w:r>
      <w:r w:rsidR="00756B2F" w:rsidRPr="00C04BE2">
        <w:rPr>
          <w:rFonts w:ascii="Garamond" w:eastAsiaTheme="minorHAnsi" w:hAnsi="Garamond"/>
          <w:sz w:val="28"/>
          <w:szCs w:val="28"/>
          <w:lang w:eastAsia="en-US"/>
        </w:rPr>
        <w:t>лишь в июле он превысил 40 пунктов. Сформировавшаяся тенденция к постепенному возвращению показателей на докризисный уровень может быть прерва</w:t>
      </w:r>
      <w:r w:rsidR="00C825EC" w:rsidRPr="00C04BE2">
        <w:rPr>
          <w:rFonts w:ascii="Garamond" w:eastAsiaTheme="minorHAnsi" w:hAnsi="Garamond"/>
          <w:sz w:val="28"/>
          <w:szCs w:val="28"/>
          <w:lang w:eastAsia="en-US"/>
        </w:rPr>
        <w:t>н</w:t>
      </w:r>
      <w:r w:rsidR="00756B2F" w:rsidRPr="00C04BE2">
        <w:rPr>
          <w:rFonts w:ascii="Garamond" w:eastAsiaTheme="minorHAnsi" w:hAnsi="Garamond"/>
          <w:sz w:val="28"/>
          <w:szCs w:val="28"/>
          <w:lang w:eastAsia="en-US"/>
        </w:rPr>
        <w:t>а «второй волной» коронавирусной инфекции.</w:t>
      </w:r>
    </w:p>
    <w:p w14:paraId="65DF5ED6" w14:textId="45462776" w:rsidR="007C6B07" w:rsidRPr="00C04BE2" w:rsidRDefault="007C6B07" w:rsidP="007C6B07">
      <w:pPr>
        <w:jc w:val="both"/>
        <w:rPr>
          <w:rFonts w:ascii="Garamond" w:eastAsiaTheme="minorHAnsi" w:hAnsi="Garamond"/>
          <w:sz w:val="28"/>
          <w:szCs w:val="28"/>
          <w:lang w:eastAsia="en-US"/>
        </w:rPr>
      </w:pPr>
    </w:p>
    <w:p w14:paraId="2F64AD0A" w14:textId="444F23F0" w:rsidR="007C6B07" w:rsidRPr="00C04BE2" w:rsidRDefault="007C6B07" w:rsidP="007C6B07">
      <w:pPr>
        <w:jc w:val="both"/>
        <w:rPr>
          <w:rFonts w:ascii="Garamond" w:eastAsiaTheme="minorHAnsi" w:hAnsi="Garamond"/>
          <w:sz w:val="28"/>
          <w:szCs w:val="28"/>
          <w:lang w:eastAsia="en-US"/>
        </w:rPr>
      </w:pPr>
      <w:r w:rsidRPr="00C04BE2">
        <w:rPr>
          <w:rFonts w:ascii="Garamond" w:hAnsi="Garamond"/>
          <w:noProof/>
        </w:rPr>
        <w:drawing>
          <wp:inline distT="0" distB="0" distL="0" distR="0" wp14:anchorId="2B2276B8" wp14:editId="1CF0CBD4">
            <wp:extent cx="6047740" cy="2108200"/>
            <wp:effectExtent l="0" t="0" r="0" b="635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475B8B8" w14:textId="77777777" w:rsidR="007C6B07" w:rsidRPr="00C04BE2" w:rsidRDefault="007C6B07" w:rsidP="007C6B07">
      <w:pPr>
        <w:ind w:firstLine="708"/>
        <w:jc w:val="both"/>
        <w:rPr>
          <w:rFonts w:ascii="Garamond" w:eastAsiaTheme="minorHAnsi" w:hAnsi="Garamond"/>
          <w:sz w:val="28"/>
          <w:szCs w:val="28"/>
          <w:lang w:eastAsia="en-US"/>
        </w:rPr>
      </w:pPr>
    </w:p>
    <w:p w14:paraId="549B80F6" w14:textId="77777777" w:rsidR="00756B2F" w:rsidRPr="00C04BE2" w:rsidRDefault="00756B2F" w:rsidP="007C6B07">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Картину могут дополнить результаты специальных опросов РСПП.</w:t>
      </w:r>
    </w:p>
    <w:p w14:paraId="24C3B9E9" w14:textId="7D037870" w:rsidR="001E29BA" w:rsidRPr="00C04BE2" w:rsidRDefault="001E29BA" w:rsidP="007C6B07">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41,2% участников опроса заявили, что кризис из-за эпидемии Covid-19 оказала негативное влияние на хозяйственную деятельность компании. На трети из них негативные последствия кризиса не сказались и не прогнозируются. Четверть организаций пока не ощутили негативных последствий кризиса, но ожидают их в ближайшей перспективе</w:t>
      </w:r>
      <w:r w:rsidR="00756B2F" w:rsidRPr="00C04BE2">
        <w:rPr>
          <w:rStyle w:val="a8"/>
          <w:rFonts w:ascii="Garamond" w:eastAsiaTheme="minorHAnsi" w:hAnsi="Garamond"/>
          <w:sz w:val="28"/>
          <w:szCs w:val="28"/>
          <w:lang w:eastAsia="en-US"/>
        </w:rPr>
        <w:footnoteReference w:id="1"/>
      </w:r>
      <w:r w:rsidRPr="00C04BE2">
        <w:rPr>
          <w:rFonts w:ascii="Garamond" w:eastAsiaTheme="minorHAnsi" w:hAnsi="Garamond"/>
          <w:sz w:val="28"/>
          <w:szCs w:val="28"/>
          <w:lang w:eastAsia="en-US"/>
        </w:rPr>
        <w:t>.</w:t>
      </w:r>
    </w:p>
    <w:p w14:paraId="03BFDDD7" w14:textId="77777777" w:rsidR="001E29BA" w:rsidRPr="00C04BE2" w:rsidRDefault="001E29BA" w:rsidP="007C6B07">
      <w:pPr>
        <w:ind w:firstLine="708"/>
        <w:jc w:val="both"/>
        <w:rPr>
          <w:rFonts w:ascii="Garamond" w:eastAsiaTheme="minorHAnsi" w:hAnsi="Garamond"/>
          <w:sz w:val="28"/>
          <w:szCs w:val="28"/>
          <w:lang w:eastAsia="en-US"/>
        </w:rPr>
      </w:pPr>
    </w:p>
    <w:p w14:paraId="72AE2B70" w14:textId="77777777" w:rsidR="001E29BA" w:rsidRPr="00C04BE2" w:rsidRDefault="001E29BA" w:rsidP="001E29BA">
      <w:pPr>
        <w:jc w:val="both"/>
        <w:rPr>
          <w:rFonts w:ascii="Garamond" w:hAnsi="Garamond"/>
          <w:sz w:val="26"/>
          <w:szCs w:val="26"/>
          <w:lang w:val="en-US"/>
        </w:rPr>
      </w:pPr>
      <w:r w:rsidRPr="00C04BE2">
        <w:rPr>
          <w:rFonts w:ascii="Garamond" w:hAnsi="Garamond"/>
          <w:noProof/>
          <w:sz w:val="26"/>
          <w:szCs w:val="26"/>
          <w:lang w:val="en-US"/>
        </w:rPr>
        <w:drawing>
          <wp:inline distT="0" distB="0" distL="0" distR="0" wp14:anchorId="08CA2C70" wp14:editId="4F1787D3">
            <wp:extent cx="5762625" cy="2457450"/>
            <wp:effectExtent l="19050" t="0" r="9525" b="0"/>
            <wp:docPr id="6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EC55995" w14:textId="77777777" w:rsidR="001E29BA" w:rsidRPr="00C04BE2" w:rsidRDefault="001E29BA" w:rsidP="001E29BA">
      <w:pPr>
        <w:jc w:val="both"/>
        <w:rPr>
          <w:rFonts w:ascii="Garamond" w:hAnsi="Garamond"/>
          <w:sz w:val="26"/>
          <w:szCs w:val="26"/>
          <w:lang w:val="en-US"/>
        </w:rPr>
      </w:pPr>
    </w:p>
    <w:p w14:paraId="084B1762" w14:textId="407B76BA" w:rsidR="0099001E" w:rsidRPr="00C04BE2" w:rsidRDefault="0099001E" w:rsidP="00C825EC">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 xml:space="preserve">Почти половина </w:t>
      </w:r>
      <w:r w:rsidR="00F32840" w:rsidRPr="00C04BE2">
        <w:rPr>
          <w:rFonts w:ascii="Garamond" w:eastAsiaTheme="minorHAnsi" w:hAnsi="Garamond"/>
          <w:sz w:val="28"/>
          <w:szCs w:val="28"/>
          <w:lang w:eastAsia="en-US"/>
        </w:rPr>
        <w:t>опрошенных РСПП компаний</w:t>
      </w:r>
      <w:r w:rsidRPr="00C04BE2">
        <w:rPr>
          <w:rFonts w:ascii="Garamond" w:eastAsiaTheme="minorHAnsi" w:hAnsi="Garamond"/>
          <w:sz w:val="28"/>
          <w:szCs w:val="28"/>
          <w:lang w:eastAsia="en-US"/>
        </w:rPr>
        <w:t xml:space="preserve"> (45,6%) отметила, что сбои деловых операций в текущих условиях сильно повлияли на выручку / продажу </w:t>
      </w:r>
      <w:r w:rsidRPr="00C04BE2">
        <w:rPr>
          <w:rFonts w:ascii="Garamond" w:eastAsiaTheme="minorHAnsi" w:hAnsi="Garamond"/>
          <w:sz w:val="28"/>
          <w:szCs w:val="28"/>
          <w:lang w:eastAsia="en-US"/>
        </w:rPr>
        <w:lastRenderedPageBreak/>
        <w:t>компаний.</w:t>
      </w:r>
      <w:r w:rsidR="00F32840" w:rsidRPr="00C04BE2">
        <w:rPr>
          <w:rStyle w:val="a8"/>
          <w:rFonts w:ascii="Garamond" w:eastAsiaTheme="minorHAnsi" w:hAnsi="Garamond"/>
          <w:sz w:val="28"/>
          <w:szCs w:val="28"/>
          <w:lang w:eastAsia="en-US"/>
        </w:rPr>
        <w:footnoteReference w:id="2"/>
      </w:r>
      <w:r w:rsidRPr="00C04BE2">
        <w:rPr>
          <w:rFonts w:ascii="Garamond" w:eastAsiaTheme="minorHAnsi" w:hAnsi="Garamond"/>
          <w:sz w:val="28"/>
          <w:szCs w:val="28"/>
          <w:lang w:eastAsia="en-US"/>
        </w:rPr>
        <w:t xml:space="preserve"> Средним назвали уровень финансового воздействия 35,2% респондентов. Только 8,9% выбрали вариант «низкий». </w:t>
      </w:r>
    </w:p>
    <w:p w14:paraId="20E6F3F7" w14:textId="77777777" w:rsidR="0099001E" w:rsidRPr="00C04BE2" w:rsidRDefault="0099001E" w:rsidP="0099001E">
      <w:pPr>
        <w:jc w:val="both"/>
        <w:rPr>
          <w:rFonts w:ascii="Garamond" w:hAnsi="Garamond"/>
          <w:sz w:val="26"/>
          <w:szCs w:val="26"/>
        </w:rPr>
      </w:pPr>
      <w:r w:rsidRPr="00C04BE2">
        <w:rPr>
          <w:rFonts w:ascii="Garamond" w:hAnsi="Garamond"/>
          <w:noProof/>
          <w:sz w:val="26"/>
          <w:szCs w:val="26"/>
        </w:rPr>
        <w:drawing>
          <wp:inline distT="0" distB="0" distL="0" distR="0" wp14:anchorId="0403C6A9" wp14:editId="73762C64">
            <wp:extent cx="5758180" cy="1990725"/>
            <wp:effectExtent l="0" t="0" r="13970" b="9525"/>
            <wp:docPr id="7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75EBBF1" w14:textId="6FCCC05F" w:rsidR="0099001E" w:rsidRPr="00C04BE2" w:rsidRDefault="0099001E" w:rsidP="00245707">
      <w:pPr>
        <w:ind w:firstLine="709"/>
        <w:jc w:val="both"/>
        <w:rPr>
          <w:rFonts w:ascii="Garamond" w:eastAsiaTheme="minorHAnsi" w:hAnsi="Garamond"/>
          <w:sz w:val="28"/>
          <w:szCs w:val="28"/>
          <w:lang w:eastAsia="en-US"/>
        </w:rPr>
      </w:pPr>
    </w:p>
    <w:p w14:paraId="2E8C4045" w14:textId="34F94631" w:rsidR="0099001E" w:rsidRPr="00C04BE2" w:rsidRDefault="0099001E" w:rsidP="00F32840">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 xml:space="preserve">Пятая часть компаний </w:t>
      </w:r>
      <w:r w:rsidR="00F32840" w:rsidRPr="00C04BE2">
        <w:rPr>
          <w:rFonts w:ascii="Garamond" w:eastAsiaTheme="minorHAnsi" w:hAnsi="Garamond"/>
          <w:sz w:val="28"/>
          <w:szCs w:val="28"/>
          <w:lang w:eastAsia="en-US"/>
        </w:rPr>
        <w:t xml:space="preserve">в апреле заявляла, что </w:t>
      </w:r>
      <w:r w:rsidRPr="00C04BE2">
        <w:rPr>
          <w:rFonts w:ascii="Garamond" w:eastAsiaTheme="minorHAnsi" w:hAnsi="Garamond"/>
          <w:sz w:val="28"/>
          <w:szCs w:val="28"/>
          <w:lang w:eastAsia="en-US"/>
        </w:rPr>
        <w:t>находится в критическом положении: они не способны обслуживать основной долг или выплачивать платежи первой очереди (налоги, страховые взносы, зарплата). Для обеспечения основного долга и процентов им необходимо внешнее финансирование.</w:t>
      </w:r>
    </w:p>
    <w:p w14:paraId="558A5841" w14:textId="77777777" w:rsidR="0099001E" w:rsidRPr="00C04BE2" w:rsidRDefault="0099001E" w:rsidP="00F32840">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Также очень сложная ситуация в 13,3% организаций, которые сейчас могут обеспечить платежи первой очереди, но не могут выплатить процентные платежи и основной долг. В 15,5% ситуация чуть легче: они способны обслужить платежи первой очереди и текущие процентные платежи, однако дальше не смогут погашать основной долг или обеспечить его рефинансирование.</w:t>
      </w:r>
    </w:p>
    <w:p w14:paraId="417C6501" w14:textId="5EEEC94F" w:rsidR="0099001E" w:rsidRPr="00C04BE2" w:rsidRDefault="0099001E" w:rsidP="00F32840">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29,9% предприятий имеют достаточно средств, долг обслуживается и погашается по графику, платежи первой очереди уплачиваются.</w:t>
      </w:r>
      <w:r w:rsidR="00F32840" w:rsidRPr="00C04BE2">
        <w:rPr>
          <w:rFonts w:ascii="Garamond" w:eastAsiaTheme="minorHAnsi" w:hAnsi="Garamond"/>
          <w:sz w:val="28"/>
          <w:szCs w:val="28"/>
          <w:lang w:eastAsia="en-US"/>
        </w:rPr>
        <w:t xml:space="preserve"> </w:t>
      </w:r>
      <w:r w:rsidRPr="00C04BE2">
        <w:rPr>
          <w:rFonts w:ascii="Garamond" w:eastAsiaTheme="minorHAnsi" w:hAnsi="Garamond"/>
          <w:sz w:val="28"/>
          <w:szCs w:val="28"/>
          <w:lang w:eastAsia="en-US"/>
        </w:rPr>
        <w:t>У 20,7% опрошенных компаний в настоящее время нет долговых обязательств.</w:t>
      </w:r>
    </w:p>
    <w:p w14:paraId="5C3B9D6B" w14:textId="77777777" w:rsidR="0099001E" w:rsidRPr="00C04BE2" w:rsidRDefault="0099001E" w:rsidP="0099001E">
      <w:pPr>
        <w:jc w:val="both"/>
        <w:rPr>
          <w:rFonts w:ascii="Garamond" w:hAnsi="Garamond"/>
          <w:sz w:val="26"/>
          <w:szCs w:val="26"/>
        </w:rPr>
      </w:pPr>
      <w:r w:rsidRPr="00C04BE2">
        <w:rPr>
          <w:rFonts w:ascii="Garamond" w:eastAsiaTheme="minorHAnsi" w:hAnsi="Garamond"/>
          <w:sz w:val="28"/>
          <w:szCs w:val="28"/>
          <w:lang w:eastAsia="en-US"/>
        </w:rPr>
        <w:t>В диаграмме распределение представлено по 5-балльной шкале, где «1» – критическое финансовое положение (организация не способна обслуживать основной долг или выплачивать платежи первой очереди) до «4» – нормальное финансовое положение (у организации достаточно средств на обслуживание долга и обеспечение платежей). «5» означает, что у компании в настоящее время нет долговых обязательств.</w:t>
      </w:r>
    </w:p>
    <w:p w14:paraId="76130BB4" w14:textId="77777777" w:rsidR="0099001E" w:rsidRPr="00C04BE2" w:rsidRDefault="0099001E" w:rsidP="0099001E">
      <w:pPr>
        <w:jc w:val="both"/>
        <w:rPr>
          <w:rFonts w:ascii="Garamond" w:hAnsi="Garamond"/>
          <w:sz w:val="26"/>
          <w:szCs w:val="26"/>
        </w:rPr>
      </w:pPr>
      <w:r w:rsidRPr="00C04BE2">
        <w:rPr>
          <w:rFonts w:ascii="Garamond" w:hAnsi="Garamond"/>
          <w:noProof/>
          <w:sz w:val="26"/>
          <w:szCs w:val="26"/>
        </w:rPr>
        <w:drawing>
          <wp:inline distT="0" distB="0" distL="0" distR="0" wp14:anchorId="53B4DF91" wp14:editId="5CF19C29">
            <wp:extent cx="5843905" cy="2105025"/>
            <wp:effectExtent l="19050" t="0" r="23495" b="0"/>
            <wp:docPr id="7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CFCEFE7" w14:textId="77777777" w:rsidR="0099001E" w:rsidRPr="00C04BE2" w:rsidRDefault="0099001E" w:rsidP="00245707">
      <w:pPr>
        <w:ind w:firstLine="709"/>
        <w:jc w:val="both"/>
        <w:rPr>
          <w:rFonts w:ascii="Garamond" w:eastAsiaTheme="minorHAnsi" w:hAnsi="Garamond"/>
          <w:sz w:val="28"/>
          <w:szCs w:val="28"/>
          <w:lang w:eastAsia="en-US"/>
        </w:rPr>
      </w:pPr>
    </w:p>
    <w:p w14:paraId="2668FA78" w14:textId="77777777" w:rsidR="0099001E" w:rsidRPr="00C04BE2" w:rsidRDefault="0099001E" w:rsidP="00245707">
      <w:pPr>
        <w:ind w:firstLine="709"/>
        <w:jc w:val="both"/>
        <w:rPr>
          <w:rFonts w:ascii="Garamond" w:eastAsiaTheme="minorHAnsi" w:hAnsi="Garamond"/>
          <w:sz w:val="28"/>
          <w:szCs w:val="28"/>
          <w:lang w:eastAsia="en-US"/>
        </w:rPr>
      </w:pPr>
    </w:p>
    <w:p w14:paraId="6FFE0F0C" w14:textId="77777777" w:rsidR="00852E81" w:rsidRPr="00C04BE2" w:rsidRDefault="00852E81" w:rsidP="00245707">
      <w:pPr>
        <w:pStyle w:val="1"/>
        <w:rPr>
          <w:rFonts w:ascii="Garamond" w:hAnsi="Garamond"/>
        </w:rPr>
      </w:pPr>
      <w:bookmarkStart w:id="12" w:name="_Toc52745682"/>
      <w:r w:rsidRPr="00C04BE2">
        <w:rPr>
          <w:rFonts w:ascii="Garamond" w:hAnsi="Garamond"/>
        </w:rPr>
        <w:lastRenderedPageBreak/>
        <w:t>Главные проблемы для бизнеса</w:t>
      </w:r>
      <w:bookmarkEnd w:id="3"/>
      <w:bookmarkEnd w:id="12"/>
    </w:p>
    <w:p w14:paraId="22E611A6" w14:textId="77777777" w:rsidR="003D301F" w:rsidRDefault="003D301F" w:rsidP="00245707">
      <w:pPr>
        <w:ind w:firstLine="708"/>
        <w:jc w:val="both"/>
        <w:rPr>
          <w:rFonts w:ascii="Garamond" w:eastAsiaTheme="minorHAnsi" w:hAnsi="Garamond"/>
          <w:sz w:val="28"/>
          <w:szCs w:val="28"/>
          <w:lang w:eastAsia="en-US"/>
        </w:rPr>
      </w:pPr>
    </w:p>
    <w:p w14:paraId="7F1804B1" w14:textId="77777777" w:rsidR="003D301F" w:rsidRDefault="003D301F" w:rsidP="00245707">
      <w:pPr>
        <w:ind w:firstLine="708"/>
        <w:jc w:val="both"/>
        <w:rPr>
          <w:rFonts w:ascii="Garamond" w:eastAsiaTheme="minorHAnsi" w:hAnsi="Garamond"/>
          <w:sz w:val="28"/>
          <w:szCs w:val="28"/>
          <w:lang w:eastAsia="en-US"/>
        </w:rPr>
      </w:pPr>
    </w:p>
    <w:p w14:paraId="00943381" w14:textId="6F3FD695" w:rsidR="00852E81" w:rsidRPr="00C04BE2" w:rsidRDefault="00852E81" w:rsidP="00245707">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Предпринимательскую деятельность в России ограничивают в первую очередь рост тарифов, избыточно высокие налоги и дефицит квалифицированных кадров. Из года в год острота этих проблем не снижается – их отмечают порядка половины опрошенных компаний. Максимальная доля у варианта-лидера – «рост тарифов», она достигла 56% в 2019 году. Избыточно высокие налоги ограничивали деятельность 50,7% организаций. Недостаток квалифицированных кадров – проблема для 45% предприятий.</w:t>
      </w:r>
    </w:p>
    <w:p w14:paraId="50887DF4" w14:textId="77777777" w:rsidR="00852E81" w:rsidRPr="00C04BE2" w:rsidRDefault="00852E81" w:rsidP="00245707">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 xml:space="preserve">34,8% респондентов пожаловались на чрезмерное контрольно-надзорное давление на бизнес. Снижение спроса за год ощутили 29,8% компаний. Рост цен производителей помешал работе 29,4% организаций. </w:t>
      </w:r>
    </w:p>
    <w:p w14:paraId="1F54EC49" w14:textId="77777777" w:rsidR="00852E81" w:rsidRPr="00C04BE2" w:rsidRDefault="00852E81" w:rsidP="00245707">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 xml:space="preserve">Пятая часть предприятий назвала в качестве ключевой проблемы высокие административные барьеры. Для 16% организаций существенными стали сложности с доступом к кредитным ресурсам, такую же долю набрал вариант «неэффективная судебная система». 14,2% участников опроса обозначили как главную проблему низкое качество государственного управления. Немного ниже доля ответов «коррупция в органах власти» и «недобросовестная конкуренция» – она равна примерно 13%. </w:t>
      </w:r>
    </w:p>
    <w:p w14:paraId="17F96804" w14:textId="77777777" w:rsidR="00852E81" w:rsidRPr="00C04BE2" w:rsidRDefault="00852E81" w:rsidP="004A62AF">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Десятая часть организаций указала, что проблемы для российского бизнеса кроются в недостаточной защищённости прав собственности и контрактных прав.</w:t>
      </w:r>
    </w:p>
    <w:p w14:paraId="56181D78" w14:textId="77777777" w:rsidR="00852E81" w:rsidRPr="00C04BE2" w:rsidRDefault="00852E81" w:rsidP="004A62AF">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Близкие значения у вариантов – «неразвитость инфраструктуры», «низкое качество корпоративного управления», «отсутствие ясных целей, ориентиров развития страны», «неэффективное налоговое администрирование», их доли составили около 7%.</w:t>
      </w:r>
    </w:p>
    <w:p w14:paraId="762F7163" w14:textId="77777777" w:rsidR="00852E81" w:rsidRPr="00C04BE2" w:rsidRDefault="00852E81" w:rsidP="00245707">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Жёсткость и неоднозначность норм трудового законодательства мешает российскому бизнесу, по мнению 6% компаний. Такое же число респондентов указали ответ «сложность с присоединением к инженерным, транспортным и иным сетям».</w:t>
      </w:r>
    </w:p>
    <w:p w14:paraId="149A5292" w14:textId="3BC74FA2" w:rsidR="0026085E" w:rsidRDefault="0026085E">
      <w:pPr>
        <w:spacing w:after="200" w:line="276" w:lineRule="auto"/>
        <w:rPr>
          <w:rFonts w:ascii="Garamond" w:eastAsiaTheme="minorHAnsi" w:hAnsi="Garamond"/>
          <w:b/>
          <w:bCs/>
          <w:sz w:val="28"/>
          <w:szCs w:val="28"/>
          <w:lang w:eastAsia="en-US"/>
        </w:rPr>
      </w:pPr>
      <w:r>
        <w:rPr>
          <w:rFonts w:ascii="Garamond" w:eastAsiaTheme="minorHAnsi" w:hAnsi="Garamond"/>
          <w:b/>
          <w:bCs/>
          <w:sz w:val="28"/>
          <w:szCs w:val="28"/>
          <w:lang w:eastAsia="en-US"/>
        </w:rPr>
        <w:br w:type="page"/>
      </w:r>
    </w:p>
    <w:p w14:paraId="6846CFB8" w14:textId="77777777" w:rsidR="005A3CEF" w:rsidRPr="00C04BE2" w:rsidRDefault="005A3CEF">
      <w:pPr>
        <w:spacing w:after="200" w:line="276" w:lineRule="auto"/>
        <w:rPr>
          <w:rFonts w:ascii="Garamond" w:eastAsiaTheme="minorHAnsi" w:hAnsi="Garamond"/>
          <w:b/>
          <w:bCs/>
          <w:sz w:val="28"/>
          <w:szCs w:val="28"/>
          <w:lang w:eastAsia="en-US"/>
        </w:rPr>
      </w:pPr>
    </w:p>
    <w:p w14:paraId="7F5E555F" w14:textId="77777777" w:rsidR="005A3CEF" w:rsidRPr="00C04BE2" w:rsidRDefault="005A3CEF" w:rsidP="005A3CEF">
      <w:pPr>
        <w:jc w:val="center"/>
        <w:rPr>
          <w:rFonts w:ascii="Garamond" w:eastAsiaTheme="minorHAnsi" w:hAnsi="Garamond"/>
          <w:b/>
          <w:bCs/>
          <w:sz w:val="28"/>
          <w:szCs w:val="28"/>
          <w:lang w:eastAsia="en-US"/>
        </w:rPr>
      </w:pPr>
      <w:r w:rsidRPr="00C04BE2">
        <w:rPr>
          <w:rFonts w:ascii="Garamond" w:eastAsiaTheme="minorHAnsi" w:hAnsi="Garamond"/>
          <w:b/>
          <w:bCs/>
          <w:sz w:val="28"/>
          <w:szCs w:val="28"/>
          <w:lang w:eastAsia="en-US"/>
        </w:rPr>
        <w:t xml:space="preserve">Наиболее острые проблемы, мешающие предпринимательской деятельности в России в 2018 </w:t>
      </w:r>
      <w:r w:rsidRPr="00C04BE2">
        <w:rPr>
          <w:rFonts w:ascii="Garamond" w:eastAsiaTheme="minorHAnsi" w:hAnsi="Garamond"/>
          <w:sz w:val="28"/>
          <w:szCs w:val="28"/>
          <w:lang w:eastAsia="en-US"/>
        </w:rPr>
        <w:t xml:space="preserve">– </w:t>
      </w:r>
      <w:r w:rsidRPr="00C04BE2">
        <w:rPr>
          <w:rFonts w:ascii="Garamond" w:eastAsiaTheme="minorHAnsi" w:hAnsi="Garamond"/>
          <w:b/>
          <w:bCs/>
          <w:sz w:val="28"/>
          <w:szCs w:val="28"/>
          <w:lang w:eastAsia="en-US"/>
        </w:rPr>
        <w:t>2019 годах, %</w:t>
      </w:r>
    </w:p>
    <w:p w14:paraId="60FE0F67" w14:textId="77777777" w:rsidR="005A3CEF" w:rsidRPr="00C04BE2" w:rsidRDefault="005A3CEF" w:rsidP="005A3CEF">
      <w:pPr>
        <w:rPr>
          <w:rFonts w:ascii="Garamond" w:eastAsiaTheme="minorHAnsi" w:hAnsi="Garamond"/>
          <w:b/>
          <w:bCs/>
          <w:sz w:val="28"/>
          <w:szCs w:val="28"/>
          <w:lang w:eastAsia="en-US"/>
        </w:rPr>
      </w:pPr>
      <w:r w:rsidRPr="00C04BE2">
        <w:rPr>
          <w:rFonts w:ascii="Garamond" w:hAnsi="Garamond"/>
          <w:bCs/>
          <w:noProof/>
        </w:rPr>
        <w:drawing>
          <wp:inline distT="0" distB="0" distL="0" distR="0" wp14:anchorId="00E1E50C" wp14:editId="751CAF09">
            <wp:extent cx="5943600" cy="4512366"/>
            <wp:effectExtent l="0" t="0" r="19050" b="21590"/>
            <wp:docPr id="109"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DA1BFDB" w14:textId="77777777" w:rsidR="005A3CEF" w:rsidRPr="00C04BE2" w:rsidRDefault="005A3CEF" w:rsidP="005A3CEF">
      <w:pPr>
        <w:jc w:val="both"/>
        <w:rPr>
          <w:rFonts w:ascii="Garamond" w:eastAsiaTheme="minorHAnsi" w:hAnsi="Garamond"/>
          <w:i/>
          <w:sz w:val="28"/>
          <w:szCs w:val="28"/>
          <w:lang w:eastAsia="en-US"/>
        </w:rPr>
      </w:pPr>
      <w:r w:rsidRPr="00C04BE2">
        <w:rPr>
          <w:rFonts w:ascii="Garamond" w:eastAsiaTheme="minorHAnsi" w:hAnsi="Garamond"/>
          <w:i/>
          <w:sz w:val="28"/>
          <w:szCs w:val="28"/>
          <w:lang w:eastAsia="en-US"/>
        </w:rPr>
        <w:t>Вопрос предполагал возможность множественного выбора ответов, поэтому общая доля не сводится к 100%. Порог отсечения &gt; 10%.</w:t>
      </w:r>
    </w:p>
    <w:p w14:paraId="1149FB72" w14:textId="39784A8E" w:rsidR="005A3CEF" w:rsidRPr="00C04BE2" w:rsidRDefault="005A3CEF" w:rsidP="005A3CEF">
      <w:pPr>
        <w:ind w:firstLine="709"/>
        <w:jc w:val="both"/>
        <w:rPr>
          <w:rFonts w:ascii="Garamond" w:eastAsiaTheme="minorHAnsi" w:hAnsi="Garamond"/>
          <w:sz w:val="28"/>
          <w:szCs w:val="28"/>
          <w:lang w:eastAsia="en-US"/>
        </w:rPr>
      </w:pPr>
    </w:p>
    <w:p w14:paraId="4EA1F376" w14:textId="788D2807" w:rsidR="0099001E" w:rsidRPr="00C04BE2" w:rsidRDefault="000D2750" w:rsidP="000D2750">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В 2020 году г</w:t>
      </w:r>
      <w:r w:rsidR="0099001E" w:rsidRPr="00C04BE2">
        <w:rPr>
          <w:rFonts w:ascii="Garamond" w:eastAsiaTheme="minorHAnsi" w:hAnsi="Garamond"/>
          <w:sz w:val="28"/>
          <w:szCs w:val="28"/>
          <w:lang w:eastAsia="en-US"/>
        </w:rPr>
        <w:t>лавной проблемой для компаний в текущих условиях стало невыполнение контрактных обязательств со стороны контрагентов, перебои в деятельности деловых партнёров, этот вариант набрал долю 49,3%</w:t>
      </w:r>
      <w:r w:rsidR="003D301F">
        <w:rPr>
          <w:rFonts w:ascii="Garamond" w:eastAsiaTheme="minorHAnsi" w:hAnsi="Garamond"/>
          <w:sz w:val="28"/>
          <w:szCs w:val="28"/>
          <w:lang w:eastAsia="en-US"/>
        </w:rPr>
        <w:t xml:space="preserve"> (опрос РСПП-МОТ)</w:t>
      </w:r>
      <w:r w:rsidR="0099001E" w:rsidRPr="00C04BE2">
        <w:rPr>
          <w:rFonts w:ascii="Garamond" w:eastAsiaTheme="minorHAnsi" w:hAnsi="Garamond"/>
          <w:sz w:val="28"/>
          <w:szCs w:val="28"/>
          <w:lang w:eastAsia="en-US"/>
        </w:rPr>
        <w:t>. Резкое снижение спроса из-за поведения клиентов во время пандемии Covid-19 почувствовали на себе 42,8%. Тройку лидеров замыкает ответ «сырьё/комплектующие не поставляются в настоящий момент или выросли в цене», его указали 37,9% опрошенных.</w:t>
      </w:r>
    </w:p>
    <w:p w14:paraId="3605CA16" w14:textId="77777777" w:rsidR="0099001E" w:rsidRPr="00C04BE2" w:rsidRDefault="0099001E" w:rsidP="000D2750">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 xml:space="preserve">В трети компаний наблюдается ненадлежащий поток наличности для поддержания штата и совершения деловых операций. Такое же число респондентов ответило, что нормальной работе организаций мешает отсутствие работников на рабочем месте из-за постановлений Правительства или болезни. </w:t>
      </w:r>
    </w:p>
    <w:p w14:paraId="17268E21" w14:textId="77777777" w:rsidR="0099001E" w:rsidRPr="00C04BE2" w:rsidRDefault="0099001E" w:rsidP="000D2750">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 xml:space="preserve">Реже всего компании сталкивались с тем, что их поставщики не могли предоставить необходимую документацию для оформления операций. Эту проблему отметили только 11,5% участников опроса. </w:t>
      </w:r>
    </w:p>
    <w:p w14:paraId="256332EE" w14:textId="09155231" w:rsidR="0099001E" w:rsidRPr="00C04BE2" w:rsidRDefault="0099001E" w:rsidP="000D2750">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 xml:space="preserve">Пятая часть предприятий дала собственные ответы на заданный вопрос. Самой частой проблемой из группы ответов «другое» стало вынужденное </w:t>
      </w:r>
      <w:r w:rsidRPr="00C04BE2">
        <w:rPr>
          <w:rFonts w:ascii="Garamond" w:eastAsiaTheme="minorHAnsi" w:hAnsi="Garamond"/>
          <w:sz w:val="28"/>
          <w:szCs w:val="28"/>
          <w:lang w:eastAsia="en-US"/>
        </w:rPr>
        <w:lastRenderedPageBreak/>
        <w:t xml:space="preserve">приостановление работы, полный запрет на осуществление деятельности согласно указам и распоряжениям со стороны органов власти. </w:t>
      </w:r>
    </w:p>
    <w:p w14:paraId="69A59BCA" w14:textId="77777777" w:rsidR="0099001E" w:rsidRPr="00C04BE2" w:rsidRDefault="0099001E" w:rsidP="000D2750">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 xml:space="preserve">Ряд промышленных компаний ответили, что возникают угрозы срыва сроков исполнения контрактов и договоров, а вследствие этого возможны штрафные санкции. Машиностроительная компания из Санкт-Петербурга сообщает, что получила отказ в выдаче документов о форс-мажоре, из-за этого невозможно перенести сроки исполнения договора. </w:t>
      </w:r>
    </w:p>
    <w:p w14:paraId="11569197" w14:textId="77777777" w:rsidR="0099001E" w:rsidRPr="00C04BE2" w:rsidRDefault="0099001E" w:rsidP="000D2750">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Некоторые организации столкнулись со сложностями с наймом дополнительного персонала, с трудностями организации рабочих смен, в том числе вахтовых, из-за ограничений передвижения.</w:t>
      </w:r>
    </w:p>
    <w:p w14:paraId="411C1556" w14:textId="77777777" w:rsidR="0099001E" w:rsidRPr="00C04BE2" w:rsidRDefault="0099001E" w:rsidP="000D2750">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Компании нередко отмечают, что в регионах система пропусков, в целом, мешает работе предприятий, так как она либо излишне бюрократизирована, либо вовсе не справляется с числом заявок. Введение ограничений передвижения между регионами и закрытие границ в свою очередь привело к проблемам в логистической сфере.</w:t>
      </w:r>
    </w:p>
    <w:p w14:paraId="6D6B6905" w14:textId="7411771A" w:rsidR="0099001E" w:rsidRPr="00C04BE2" w:rsidRDefault="0099001E" w:rsidP="000D2750">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Представители строительных компаний указали, что организации, выдающие разрешительную документацию или осуществляющие согласование, – к примеру, Ростехнадзор и ряд других, не осуществляют деятельность, поэтому возникают проблемы с согласованием документации, с технологическим присоединением, с заключением договоров поставок ресурсов. Для отрасли это значимая проблема, о ней сообщили несколько респондентов, занятых в строительстве.</w:t>
      </w:r>
    </w:p>
    <w:p w14:paraId="4CA8CA6B" w14:textId="77777777" w:rsidR="0099001E" w:rsidRPr="00C04BE2" w:rsidRDefault="0099001E" w:rsidP="000D2750">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 xml:space="preserve">Представители юридических компаний столкнулись с похожими проблемами – в их случае не работают суды, приостановлено рассмотрение гражданских дел, приём во всех государственных учреждениях. </w:t>
      </w:r>
    </w:p>
    <w:p w14:paraId="026A5067" w14:textId="77777777" w:rsidR="0099001E" w:rsidRPr="00C04BE2" w:rsidRDefault="0099001E" w:rsidP="000D2750">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 xml:space="preserve">В то же время возросла административная нагрузка на предприятия: были введены новые требования по отчётности о противодействии распространению новой коронавирусной инфекции, которые необходимо направлять во все уровни власти. Промышленная копания из Марий Эл рассказала, что в условиях распространения Covid-19 на предприятии проводились проверки, инициированные прокуратурой. В эту же категорию ответов можно добавить комментарий от транспортной компании из Санкт-Петербурга: выросли проблемы из-за ограниченности и недостатков системы электронного документооборота, в частности из-за требования налоговых органов подписывать оригиналы документов. </w:t>
      </w:r>
    </w:p>
    <w:p w14:paraId="439B379D" w14:textId="77777777" w:rsidR="0099001E" w:rsidRPr="00C04BE2" w:rsidRDefault="0099001E" w:rsidP="000D2750">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 xml:space="preserve">Острой проблемой ряд компаний назвали общее падение платёжеспособности населения, связанное распространением новой коронавирусной инфекции. </w:t>
      </w:r>
    </w:p>
    <w:p w14:paraId="34B164B8" w14:textId="77777777" w:rsidR="0099001E" w:rsidRPr="00C04BE2" w:rsidRDefault="0099001E" w:rsidP="000D2750">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 xml:space="preserve">2,3% участников опроса ответили, что проблем из-за распространения Covid-19 нет, предприятия работают в штатном режиме. </w:t>
      </w:r>
    </w:p>
    <w:p w14:paraId="1471B9CB" w14:textId="77777777" w:rsidR="0099001E" w:rsidRPr="00C04BE2" w:rsidRDefault="0099001E" w:rsidP="0099001E">
      <w:pPr>
        <w:jc w:val="both"/>
        <w:rPr>
          <w:rFonts w:ascii="Garamond" w:hAnsi="Garamond"/>
          <w:sz w:val="26"/>
          <w:szCs w:val="26"/>
        </w:rPr>
      </w:pPr>
      <w:r w:rsidRPr="00C04BE2">
        <w:rPr>
          <w:rFonts w:ascii="Garamond" w:hAnsi="Garamond"/>
          <w:noProof/>
          <w:sz w:val="26"/>
          <w:szCs w:val="26"/>
        </w:rPr>
        <w:lastRenderedPageBreak/>
        <w:drawing>
          <wp:inline distT="0" distB="0" distL="0" distR="0" wp14:anchorId="6AA8FB55" wp14:editId="6FBEE45C">
            <wp:extent cx="5867400" cy="3028950"/>
            <wp:effectExtent l="19050" t="0" r="19050" b="0"/>
            <wp:docPr id="7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9F15724" w14:textId="77777777" w:rsidR="0099001E" w:rsidRPr="00C04BE2" w:rsidRDefault="0099001E" w:rsidP="0099001E">
      <w:pPr>
        <w:jc w:val="both"/>
        <w:rPr>
          <w:rFonts w:ascii="Garamond" w:hAnsi="Garamond"/>
        </w:rPr>
      </w:pPr>
      <w:r w:rsidRPr="00C04BE2">
        <w:rPr>
          <w:rFonts w:ascii="Garamond" w:hAnsi="Garamond"/>
          <w:bCs/>
        </w:rPr>
        <w:t>*Вопрос предполагал возможность выбора нескольких вариантов ответа. Общая сумма не сводится к 100%.</w:t>
      </w:r>
    </w:p>
    <w:p w14:paraId="094B93EF" w14:textId="77777777" w:rsidR="0040257C" w:rsidRPr="00C04BE2" w:rsidRDefault="0040257C" w:rsidP="00245707">
      <w:pPr>
        <w:ind w:firstLine="709"/>
        <w:jc w:val="both"/>
        <w:rPr>
          <w:rFonts w:ascii="Garamond" w:eastAsiaTheme="minorHAnsi" w:hAnsi="Garamond"/>
          <w:sz w:val="28"/>
          <w:szCs w:val="28"/>
          <w:lang w:eastAsia="en-US"/>
        </w:rPr>
      </w:pPr>
    </w:p>
    <w:p w14:paraId="3376FD22" w14:textId="77777777" w:rsidR="00236344" w:rsidRPr="00C04BE2" w:rsidRDefault="00236344" w:rsidP="00245707">
      <w:pPr>
        <w:pStyle w:val="1"/>
        <w:rPr>
          <w:rFonts w:ascii="Garamond" w:hAnsi="Garamond"/>
        </w:rPr>
      </w:pPr>
      <w:bookmarkStart w:id="13" w:name="_Toc52745683"/>
      <w:r w:rsidRPr="00C04BE2">
        <w:rPr>
          <w:rFonts w:ascii="Garamond" w:hAnsi="Garamond"/>
        </w:rPr>
        <w:t>Государственная поддержка</w:t>
      </w:r>
      <w:bookmarkEnd w:id="13"/>
    </w:p>
    <w:p w14:paraId="76D9DBDD" w14:textId="6D8B9EBE" w:rsidR="00236344" w:rsidRPr="00C04BE2" w:rsidRDefault="00236344" w:rsidP="00245707">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На протяжении всего 2019 года происходило изменение системы действующих мер поддержки, их ревизия и оценка эффективности. Некоторые программы и субсидии были приостановлены или отменены, хотя бизнес был заинтересован в их сохранении. При этом запущены новые меры поддержки</w:t>
      </w:r>
      <w:r w:rsidR="002D16BB" w:rsidRPr="00C04BE2">
        <w:rPr>
          <w:rFonts w:ascii="Garamond" w:eastAsiaTheme="minorHAnsi" w:hAnsi="Garamond"/>
          <w:sz w:val="28"/>
          <w:szCs w:val="28"/>
          <w:lang w:eastAsia="en-US"/>
        </w:rPr>
        <w:t xml:space="preserve"> – </w:t>
      </w:r>
      <w:r w:rsidRPr="00C04BE2">
        <w:rPr>
          <w:rFonts w:ascii="Garamond" w:eastAsiaTheme="minorHAnsi" w:hAnsi="Garamond"/>
          <w:sz w:val="28"/>
          <w:szCs w:val="28"/>
          <w:lang w:eastAsia="en-US"/>
        </w:rPr>
        <w:t xml:space="preserve">субсидии на возмещение части затрат на разработку цифровых платформ и программных продуктов, субсидии субъектам МСП на возмещение расходов, связанных с получением кредитов под залог прав на интеллектуальную собственность, субсидии на финансовое обеспечение части затрат на реализацию проектов по разработке современных технологий, организации производства и реализации на их основе конкурентоспособных медицинских </w:t>
      </w:r>
      <w:r w:rsidR="000D2750" w:rsidRPr="00C04BE2">
        <w:rPr>
          <w:rFonts w:ascii="Garamond" w:eastAsiaTheme="minorHAnsi" w:hAnsi="Garamond"/>
          <w:sz w:val="28"/>
          <w:szCs w:val="28"/>
          <w:lang w:eastAsia="en-US"/>
        </w:rPr>
        <w:t>изделий и</w:t>
      </w:r>
      <w:r w:rsidRPr="00C04BE2">
        <w:rPr>
          <w:rFonts w:ascii="Garamond" w:eastAsiaTheme="minorHAnsi" w:hAnsi="Garamond"/>
          <w:sz w:val="28"/>
          <w:szCs w:val="28"/>
          <w:lang w:eastAsia="en-US"/>
        </w:rPr>
        <w:t xml:space="preserve"> т.д. Ряд новых инструментов, призванных помочь бизнесу, включая СЗПК (соглашения о поощрении и защите капиталовложений), СПИК 2.0 – либо проход</w:t>
      </w:r>
      <w:r w:rsidR="000D2750" w:rsidRPr="00C04BE2">
        <w:rPr>
          <w:rFonts w:ascii="Garamond" w:eastAsiaTheme="minorHAnsi" w:hAnsi="Garamond"/>
          <w:sz w:val="28"/>
          <w:szCs w:val="28"/>
          <w:lang w:eastAsia="en-US"/>
        </w:rPr>
        <w:t>или</w:t>
      </w:r>
      <w:r w:rsidRPr="00C04BE2">
        <w:rPr>
          <w:rFonts w:ascii="Garamond" w:eastAsiaTheme="minorHAnsi" w:hAnsi="Garamond"/>
          <w:sz w:val="28"/>
          <w:szCs w:val="28"/>
          <w:lang w:eastAsia="en-US"/>
        </w:rPr>
        <w:t xml:space="preserve"> согласование в ведомственных структурах, либо только начина</w:t>
      </w:r>
      <w:r w:rsidR="000D2750" w:rsidRPr="00C04BE2">
        <w:rPr>
          <w:rFonts w:ascii="Garamond" w:eastAsiaTheme="minorHAnsi" w:hAnsi="Garamond"/>
          <w:sz w:val="28"/>
          <w:szCs w:val="28"/>
          <w:lang w:eastAsia="en-US"/>
        </w:rPr>
        <w:t xml:space="preserve">ли </w:t>
      </w:r>
      <w:r w:rsidRPr="00C04BE2">
        <w:rPr>
          <w:rFonts w:ascii="Garamond" w:eastAsiaTheme="minorHAnsi" w:hAnsi="Garamond"/>
          <w:sz w:val="28"/>
          <w:szCs w:val="28"/>
          <w:lang w:eastAsia="en-US"/>
        </w:rPr>
        <w:t xml:space="preserve">работу. </w:t>
      </w:r>
    </w:p>
    <w:p w14:paraId="52955DA3" w14:textId="77777777" w:rsidR="005A3CEF" w:rsidRPr="00C04BE2" w:rsidRDefault="005A3CEF" w:rsidP="005A3CEF">
      <w:pPr>
        <w:ind w:firstLine="709"/>
        <w:jc w:val="both"/>
        <w:rPr>
          <w:rFonts w:ascii="Garamond" w:eastAsiaTheme="minorHAnsi" w:hAnsi="Garamond"/>
          <w:sz w:val="28"/>
          <w:szCs w:val="28"/>
          <w:lang w:eastAsia="en-US"/>
        </w:rPr>
      </w:pPr>
    </w:p>
    <w:p w14:paraId="473628C8" w14:textId="2055C0BB" w:rsidR="005A3CEF" w:rsidRPr="00C04BE2" w:rsidRDefault="005A3CEF" w:rsidP="005A3CEF">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 xml:space="preserve">Более половины опрошенных компаний – 52,9% – отметили, что получали в 2019 году поддержку со стороны государства: речь идёт о субсидиях, государственных гарантиях, займах институтов развития, пониженных налоговых ставках или о нефинансовой поддержке (информационной, консультационной). В прошлом, 2018 году, доля компаний-получателей была немного ниже – 45,6%. </w:t>
      </w:r>
    </w:p>
    <w:p w14:paraId="14CF9A61" w14:textId="7B6249E9" w:rsidR="000D2750" w:rsidRPr="00C04BE2" w:rsidRDefault="000D2750" w:rsidP="005A3CEF">
      <w:pPr>
        <w:ind w:firstLine="709"/>
        <w:jc w:val="both"/>
        <w:rPr>
          <w:rFonts w:ascii="Garamond" w:eastAsiaTheme="minorHAnsi" w:hAnsi="Garamond"/>
          <w:sz w:val="28"/>
          <w:szCs w:val="28"/>
          <w:lang w:eastAsia="en-US"/>
        </w:rPr>
      </w:pPr>
    </w:p>
    <w:p w14:paraId="04BA6536" w14:textId="7DC97BF1" w:rsidR="000D2750" w:rsidRPr="00C04BE2" w:rsidRDefault="000D2750" w:rsidP="005A3CEF">
      <w:pPr>
        <w:ind w:firstLine="709"/>
        <w:jc w:val="both"/>
        <w:rPr>
          <w:rFonts w:ascii="Garamond" w:eastAsiaTheme="minorHAnsi" w:hAnsi="Garamond"/>
          <w:sz w:val="28"/>
          <w:szCs w:val="28"/>
          <w:lang w:eastAsia="en-US"/>
        </w:rPr>
      </w:pPr>
    </w:p>
    <w:p w14:paraId="35A4B6A6" w14:textId="0AFFDFF1" w:rsidR="000D2750" w:rsidRPr="00C04BE2" w:rsidRDefault="000D2750" w:rsidP="005A3CEF">
      <w:pPr>
        <w:ind w:firstLine="709"/>
        <w:jc w:val="both"/>
        <w:rPr>
          <w:rFonts w:ascii="Garamond" w:eastAsiaTheme="minorHAnsi" w:hAnsi="Garamond"/>
          <w:sz w:val="28"/>
          <w:szCs w:val="28"/>
          <w:lang w:eastAsia="en-US"/>
        </w:rPr>
      </w:pPr>
    </w:p>
    <w:p w14:paraId="153EC7AB" w14:textId="247E978E" w:rsidR="000D2750" w:rsidRPr="00C04BE2" w:rsidRDefault="000D2750" w:rsidP="005A3CEF">
      <w:pPr>
        <w:ind w:firstLine="709"/>
        <w:jc w:val="both"/>
        <w:rPr>
          <w:rFonts w:ascii="Garamond" w:eastAsiaTheme="minorHAnsi" w:hAnsi="Garamond"/>
          <w:sz w:val="28"/>
          <w:szCs w:val="28"/>
          <w:lang w:eastAsia="en-US"/>
        </w:rPr>
      </w:pPr>
    </w:p>
    <w:p w14:paraId="2788F16A" w14:textId="4BA22648" w:rsidR="000D2750" w:rsidRPr="00C04BE2" w:rsidRDefault="000D2750" w:rsidP="005A3CEF">
      <w:pPr>
        <w:ind w:firstLine="709"/>
        <w:jc w:val="both"/>
        <w:rPr>
          <w:rFonts w:ascii="Garamond" w:eastAsiaTheme="minorHAnsi" w:hAnsi="Garamond"/>
          <w:sz w:val="28"/>
          <w:szCs w:val="28"/>
          <w:lang w:eastAsia="en-US"/>
        </w:rPr>
      </w:pPr>
    </w:p>
    <w:p w14:paraId="26A36988" w14:textId="661443EC" w:rsidR="000D2750" w:rsidRPr="00C04BE2" w:rsidRDefault="000D2750" w:rsidP="005A3CEF">
      <w:pPr>
        <w:ind w:firstLine="709"/>
        <w:jc w:val="both"/>
        <w:rPr>
          <w:rFonts w:ascii="Garamond" w:eastAsiaTheme="minorHAnsi" w:hAnsi="Garamond"/>
          <w:sz w:val="28"/>
          <w:szCs w:val="28"/>
          <w:lang w:eastAsia="en-US"/>
        </w:rPr>
      </w:pPr>
    </w:p>
    <w:p w14:paraId="327E9372" w14:textId="3CEB46AB" w:rsidR="000D2750" w:rsidRPr="00C04BE2" w:rsidRDefault="000D2750" w:rsidP="005A3CEF">
      <w:pPr>
        <w:ind w:firstLine="709"/>
        <w:jc w:val="both"/>
        <w:rPr>
          <w:rFonts w:ascii="Garamond" w:eastAsiaTheme="minorHAnsi" w:hAnsi="Garamond"/>
          <w:sz w:val="28"/>
          <w:szCs w:val="28"/>
          <w:lang w:eastAsia="en-US"/>
        </w:rPr>
      </w:pPr>
    </w:p>
    <w:p w14:paraId="2902E830" w14:textId="6F9239A6" w:rsidR="000D2750" w:rsidRPr="00C04BE2" w:rsidRDefault="000D2750" w:rsidP="005A3CEF">
      <w:pPr>
        <w:ind w:firstLine="709"/>
        <w:jc w:val="both"/>
        <w:rPr>
          <w:rFonts w:ascii="Garamond" w:eastAsiaTheme="minorHAnsi" w:hAnsi="Garamond"/>
          <w:sz w:val="28"/>
          <w:szCs w:val="28"/>
          <w:lang w:eastAsia="en-US"/>
        </w:rPr>
      </w:pPr>
    </w:p>
    <w:p w14:paraId="03C75016" w14:textId="77777777" w:rsidR="005A3CEF" w:rsidRPr="00C04BE2" w:rsidRDefault="005A3CEF" w:rsidP="005A3CEF">
      <w:pPr>
        <w:jc w:val="center"/>
        <w:rPr>
          <w:rFonts w:ascii="Garamond" w:eastAsiaTheme="minorHAnsi" w:hAnsi="Garamond"/>
          <w:b/>
          <w:bCs/>
          <w:sz w:val="28"/>
          <w:szCs w:val="28"/>
          <w:lang w:eastAsia="en-US"/>
        </w:rPr>
      </w:pPr>
      <w:r w:rsidRPr="00C04BE2">
        <w:rPr>
          <w:rFonts w:ascii="Garamond" w:eastAsiaTheme="minorHAnsi" w:hAnsi="Garamond"/>
          <w:b/>
          <w:bCs/>
          <w:sz w:val="28"/>
          <w:szCs w:val="28"/>
          <w:lang w:eastAsia="en-US"/>
        </w:rPr>
        <w:lastRenderedPageBreak/>
        <w:t xml:space="preserve">Виды государственной поддержки, за которыми обращались компании </w:t>
      </w:r>
    </w:p>
    <w:p w14:paraId="1057FDCA" w14:textId="77777777" w:rsidR="005A3CEF" w:rsidRPr="00C04BE2" w:rsidRDefault="005A3CEF" w:rsidP="005A3CEF">
      <w:pPr>
        <w:jc w:val="center"/>
        <w:rPr>
          <w:rFonts w:ascii="Garamond" w:eastAsiaTheme="minorHAnsi" w:hAnsi="Garamond"/>
          <w:b/>
          <w:bCs/>
          <w:sz w:val="28"/>
          <w:szCs w:val="28"/>
          <w:lang w:eastAsia="en-US"/>
        </w:rPr>
      </w:pPr>
      <w:r w:rsidRPr="00C04BE2">
        <w:rPr>
          <w:rFonts w:ascii="Garamond" w:eastAsiaTheme="minorHAnsi" w:hAnsi="Garamond"/>
          <w:b/>
          <w:bCs/>
          <w:sz w:val="28"/>
          <w:szCs w:val="28"/>
          <w:lang w:eastAsia="en-US"/>
        </w:rPr>
        <w:t>в 2018 – 2019 годах, %</w:t>
      </w:r>
    </w:p>
    <w:p w14:paraId="1AAFDECA" w14:textId="77777777" w:rsidR="005A3CEF" w:rsidRPr="00C04BE2" w:rsidRDefault="005A3CEF" w:rsidP="005A3CEF">
      <w:pPr>
        <w:rPr>
          <w:rFonts w:ascii="Garamond" w:eastAsiaTheme="minorHAnsi" w:hAnsi="Garamond"/>
          <w:sz w:val="28"/>
          <w:szCs w:val="28"/>
          <w:lang w:eastAsia="en-US"/>
        </w:rPr>
      </w:pPr>
      <w:r w:rsidRPr="00C04BE2">
        <w:rPr>
          <w:rFonts w:ascii="Garamond" w:hAnsi="Garamond"/>
          <w:bCs/>
          <w:noProof/>
        </w:rPr>
        <w:drawing>
          <wp:inline distT="0" distB="0" distL="0" distR="0" wp14:anchorId="13131590" wp14:editId="5E2EDFCC">
            <wp:extent cx="5944511" cy="1881809"/>
            <wp:effectExtent l="0" t="0" r="18415" b="23495"/>
            <wp:docPr id="2072"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802ABE5" w14:textId="77777777" w:rsidR="005A3CEF" w:rsidRPr="00C04BE2" w:rsidRDefault="005A3CEF" w:rsidP="005A3CEF">
      <w:pPr>
        <w:jc w:val="both"/>
        <w:rPr>
          <w:rFonts w:ascii="Garamond" w:eastAsiaTheme="minorHAnsi" w:hAnsi="Garamond"/>
          <w:i/>
          <w:lang w:eastAsia="en-US"/>
        </w:rPr>
      </w:pPr>
      <w:r w:rsidRPr="00C04BE2">
        <w:rPr>
          <w:rFonts w:ascii="Garamond" w:eastAsiaTheme="minorHAnsi" w:hAnsi="Garamond"/>
          <w:i/>
          <w:lang w:eastAsia="en-US"/>
        </w:rPr>
        <w:t>Вопрос предполагал возможность множественного выбора ответов, поэтому общая доля не сводится к 100%. Из рассмотрения исключены компании, пропустившие вопрос.</w:t>
      </w:r>
    </w:p>
    <w:p w14:paraId="49895917" w14:textId="77777777" w:rsidR="005A3CEF" w:rsidRPr="00C04BE2" w:rsidRDefault="005A3CEF" w:rsidP="00245707">
      <w:pPr>
        <w:ind w:firstLine="709"/>
        <w:jc w:val="both"/>
        <w:rPr>
          <w:rFonts w:ascii="Garamond" w:eastAsiaTheme="minorHAnsi" w:hAnsi="Garamond"/>
          <w:sz w:val="28"/>
          <w:szCs w:val="28"/>
          <w:lang w:eastAsia="en-US"/>
        </w:rPr>
      </w:pPr>
    </w:p>
    <w:p w14:paraId="352BAC96" w14:textId="77777777" w:rsidR="00236344" w:rsidRPr="00C04BE2" w:rsidRDefault="00236344" w:rsidP="00245707">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Как и годом ранее, наиболее востребованным видом поддержки оказались субсидии – за ними обращались три четверти организаций-получателей поддержки</w:t>
      </w:r>
      <w:r w:rsidRPr="00C04BE2">
        <w:rPr>
          <w:rStyle w:val="a8"/>
          <w:rFonts w:ascii="Garamond" w:eastAsiaTheme="minorHAnsi" w:hAnsi="Garamond"/>
          <w:sz w:val="28"/>
          <w:szCs w:val="28"/>
          <w:lang w:eastAsia="en-US"/>
        </w:rPr>
        <w:footnoteReference w:id="3"/>
      </w:r>
      <w:r w:rsidRPr="00C04BE2">
        <w:rPr>
          <w:rFonts w:ascii="Garamond" w:eastAsiaTheme="minorHAnsi" w:hAnsi="Garamond"/>
          <w:sz w:val="28"/>
          <w:szCs w:val="28"/>
          <w:lang w:eastAsia="en-US"/>
        </w:rPr>
        <w:t>. В 2018 году их было примерно столько же – 71,6%.</w:t>
      </w:r>
    </w:p>
    <w:p w14:paraId="6788B92D" w14:textId="77777777" w:rsidR="00236344" w:rsidRPr="00C04BE2" w:rsidRDefault="00236344" w:rsidP="00245707">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 xml:space="preserve">Пониженные налоговые ставки удалось применить 67% компаний. По этому виду поддержки доля компаний-получателей значимо выросла – в 2018 году она составляла 49,3%. </w:t>
      </w:r>
    </w:p>
    <w:p w14:paraId="0334E684" w14:textId="77777777" w:rsidR="00236344" w:rsidRPr="00C04BE2" w:rsidRDefault="00236344" w:rsidP="00245707">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Нефинансовой поддержкой (информационной, консультационной) воспользовались 56,1% организаций в 2019 году. Льготные займы смогли получить за отчётный период 50,5% компаний. Наименее популярным видом поддержки оказались государственные гарантии, их указали в 2019 году только 26% компаний-получателей.</w:t>
      </w:r>
    </w:p>
    <w:p w14:paraId="1F7C1066" w14:textId="77777777" w:rsidR="00236344" w:rsidRPr="00C04BE2" w:rsidRDefault="00236344" w:rsidP="00245707">
      <w:pPr>
        <w:ind w:firstLine="709"/>
        <w:jc w:val="both"/>
        <w:rPr>
          <w:rFonts w:ascii="Garamond" w:eastAsiaTheme="minorHAnsi" w:hAnsi="Garamond"/>
          <w:sz w:val="28"/>
          <w:szCs w:val="28"/>
          <w:lang w:eastAsia="en-US"/>
        </w:rPr>
      </w:pPr>
    </w:p>
    <w:p w14:paraId="758DE69B" w14:textId="77777777" w:rsidR="00236344" w:rsidRPr="00C04BE2" w:rsidRDefault="00236344" w:rsidP="00245707">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В 2019 году 51% компаний-получателей государственной поддержки указали, что обращались только за одним определённым видом помощи. Четверть организаций смогли воспользоваться двумя формами поддержки. Набор 15% компаний насчитывал три различных вида поддержки. Комбинацию из четырёх возможных форм поддержки отметили 5,9% предприятий.</w:t>
      </w:r>
      <w:r w:rsidR="00EB1449" w:rsidRPr="00C04BE2">
        <w:rPr>
          <w:rFonts w:ascii="Garamond" w:eastAsiaTheme="minorHAnsi" w:hAnsi="Garamond"/>
          <w:sz w:val="28"/>
          <w:szCs w:val="28"/>
          <w:lang w:eastAsia="en-US"/>
        </w:rPr>
        <w:t xml:space="preserve"> </w:t>
      </w:r>
      <w:r w:rsidRPr="00C04BE2">
        <w:rPr>
          <w:rFonts w:ascii="Garamond" w:eastAsiaTheme="minorHAnsi" w:hAnsi="Garamond"/>
          <w:sz w:val="28"/>
          <w:szCs w:val="28"/>
          <w:lang w:eastAsia="en-US"/>
        </w:rPr>
        <w:t>Только 1,3% респондентов из рассматриваемой группы отметили все возможные виды поддержки.</w:t>
      </w:r>
    </w:p>
    <w:p w14:paraId="5FD4B913" w14:textId="77777777" w:rsidR="00236344" w:rsidRPr="00C04BE2" w:rsidRDefault="00236344" w:rsidP="00EB1449">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Чем шире список возможных видов поддержки, которыми смогла воспользоваться компания, тем выше вероятность, что в этом списке будут присутствовать субсидии. Среди компаний, воспользовавшихся тремя видами поддержки, одинаково популярны льготные займы и пониженные налоговые ставки.</w:t>
      </w:r>
    </w:p>
    <w:p w14:paraId="7ECCF5F9" w14:textId="77777777" w:rsidR="00E63828" w:rsidRPr="00C04BE2" w:rsidRDefault="00E63828" w:rsidP="00EB1449">
      <w:pPr>
        <w:ind w:firstLine="708"/>
        <w:jc w:val="both"/>
        <w:rPr>
          <w:rFonts w:ascii="Garamond" w:eastAsiaTheme="minorHAnsi" w:hAnsi="Garamond"/>
          <w:sz w:val="28"/>
          <w:szCs w:val="28"/>
          <w:lang w:eastAsia="en-US"/>
        </w:rPr>
      </w:pPr>
    </w:p>
    <w:p w14:paraId="18055D20" w14:textId="77777777" w:rsidR="00E63828" w:rsidRPr="00C04BE2" w:rsidRDefault="00E63828" w:rsidP="00E63828">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 xml:space="preserve">Наиболее популярными инструментами, к которым компании-получатели государственной поддержки обращались в 2019 году, оказались нефинансовая поддержка (информационная, консультационная) и субсидии на компенсацию части затрат на уплату процентов по кредитам, выданным на реализацию </w:t>
      </w:r>
      <w:r w:rsidRPr="00C04BE2">
        <w:rPr>
          <w:rFonts w:ascii="Garamond" w:eastAsiaTheme="minorHAnsi" w:hAnsi="Garamond"/>
          <w:sz w:val="28"/>
          <w:szCs w:val="28"/>
          <w:lang w:eastAsia="en-US"/>
        </w:rPr>
        <w:lastRenderedPageBreak/>
        <w:t>комплексных инвестиционных проектов (КИП), – каждый из них</w:t>
      </w:r>
      <w:r w:rsidR="002D16BB" w:rsidRPr="00C04BE2">
        <w:rPr>
          <w:rFonts w:ascii="Garamond" w:eastAsiaTheme="minorHAnsi" w:hAnsi="Garamond"/>
          <w:sz w:val="28"/>
          <w:szCs w:val="28"/>
          <w:lang w:eastAsia="en-US"/>
        </w:rPr>
        <w:t xml:space="preserve"> </w:t>
      </w:r>
      <w:r w:rsidRPr="00C04BE2">
        <w:rPr>
          <w:rFonts w:ascii="Garamond" w:eastAsiaTheme="minorHAnsi" w:hAnsi="Garamond"/>
          <w:sz w:val="28"/>
          <w:szCs w:val="28"/>
          <w:lang w:eastAsia="en-US"/>
        </w:rPr>
        <w:t>указали более четверти опрошенных.</w:t>
      </w:r>
    </w:p>
    <w:p w14:paraId="20D25E48" w14:textId="77777777" w:rsidR="00E63828" w:rsidRPr="00C04BE2" w:rsidRDefault="00E63828" w:rsidP="00E63828">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21,2% компаний смогли получить субсидии организациям отдельных отраслей. Данные субсидии в наибольшей степени подверглись переформатированию, что, однако, не отразилось на данном показателе.</w:t>
      </w:r>
    </w:p>
    <w:p w14:paraId="28FACAED" w14:textId="77777777" w:rsidR="005A3CEF" w:rsidRPr="00C04BE2" w:rsidRDefault="005A3CEF" w:rsidP="005A3CEF">
      <w:pPr>
        <w:jc w:val="center"/>
        <w:rPr>
          <w:rFonts w:ascii="Garamond" w:eastAsiaTheme="minorHAnsi" w:hAnsi="Garamond"/>
          <w:b/>
          <w:bCs/>
          <w:lang w:eastAsia="en-US"/>
        </w:rPr>
      </w:pPr>
      <w:r w:rsidRPr="00C04BE2">
        <w:rPr>
          <w:rFonts w:ascii="Garamond" w:eastAsiaTheme="minorHAnsi" w:hAnsi="Garamond"/>
          <w:b/>
          <w:sz w:val="28"/>
          <w:szCs w:val="28"/>
          <w:lang w:eastAsia="en-US"/>
        </w:rPr>
        <w:t>Инструменты государственной поддержки, которыми пользовались компании в 2019 году</w:t>
      </w:r>
      <w:r w:rsidRPr="00C04BE2">
        <w:rPr>
          <w:rFonts w:ascii="Garamond" w:eastAsiaTheme="minorHAnsi" w:hAnsi="Garamond"/>
          <w:b/>
          <w:bCs/>
          <w:sz w:val="28"/>
          <w:szCs w:val="28"/>
          <w:lang w:eastAsia="en-US"/>
        </w:rPr>
        <w:t xml:space="preserve">, </w:t>
      </w:r>
      <w:r w:rsidRPr="00C04BE2">
        <w:rPr>
          <w:rFonts w:ascii="Garamond" w:eastAsiaTheme="minorHAnsi" w:hAnsi="Garamond"/>
          <w:b/>
          <w:sz w:val="28"/>
          <w:szCs w:val="28"/>
          <w:lang w:eastAsia="en-US"/>
        </w:rPr>
        <w:t>категории – «Субсидии», «Льготное финансирование», «Иные меры поддержки»,</w:t>
      </w:r>
      <w:r w:rsidRPr="00C04BE2">
        <w:rPr>
          <w:rFonts w:ascii="Garamond" w:eastAsiaTheme="minorHAnsi" w:hAnsi="Garamond"/>
          <w:b/>
          <w:bCs/>
          <w:sz w:val="28"/>
          <w:szCs w:val="28"/>
          <w:lang w:eastAsia="en-US"/>
        </w:rPr>
        <w:t xml:space="preserve"> %</w:t>
      </w:r>
    </w:p>
    <w:p w14:paraId="3847B021" w14:textId="77777777" w:rsidR="005A3CEF" w:rsidRPr="00C04BE2" w:rsidRDefault="005A3CEF" w:rsidP="005A3CEF">
      <w:pPr>
        <w:rPr>
          <w:rFonts w:ascii="Garamond" w:eastAsiaTheme="minorHAnsi" w:hAnsi="Garamond"/>
          <w:sz w:val="28"/>
          <w:szCs w:val="28"/>
          <w:lang w:eastAsia="en-US"/>
        </w:rPr>
      </w:pPr>
      <w:r w:rsidRPr="00C04BE2">
        <w:rPr>
          <w:rFonts w:ascii="Garamond" w:hAnsi="Garamond"/>
          <w:bCs/>
          <w:noProof/>
        </w:rPr>
        <w:drawing>
          <wp:inline distT="0" distB="0" distL="0" distR="0" wp14:anchorId="474C6E93" wp14:editId="5A3AD298">
            <wp:extent cx="5943600" cy="4773599"/>
            <wp:effectExtent l="0" t="0" r="19050" b="27305"/>
            <wp:docPr id="2075"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13CA726" w14:textId="77777777" w:rsidR="005A3CEF" w:rsidRPr="00C04BE2" w:rsidRDefault="005A3CEF" w:rsidP="005A3CEF">
      <w:pPr>
        <w:jc w:val="both"/>
        <w:rPr>
          <w:rFonts w:ascii="Garamond" w:eastAsiaTheme="minorHAnsi" w:hAnsi="Garamond"/>
          <w:i/>
          <w:lang w:eastAsia="en-US"/>
        </w:rPr>
      </w:pPr>
      <w:r w:rsidRPr="00C04BE2">
        <w:rPr>
          <w:rFonts w:ascii="Garamond" w:eastAsiaTheme="minorHAnsi" w:hAnsi="Garamond"/>
          <w:i/>
          <w:lang w:eastAsia="en-US"/>
        </w:rPr>
        <w:t>Вопрос предполагал возможность множественного выбора ответов, поэтому общее число ответов не сводится к 100%.</w:t>
      </w:r>
    </w:p>
    <w:p w14:paraId="7EE52961" w14:textId="77777777" w:rsidR="00236344" w:rsidRPr="00C04BE2" w:rsidRDefault="00236344" w:rsidP="00245707">
      <w:pPr>
        <w:ind w:firstLine="709"/>
        <w:jc w:val="both"/>
        <w:rPr>
          <w:rFonts w:ascii="Garamond" w:eastAsiaTheme="minorHAnsi" w:hAnsi="Garamond"/>
          <w:sz w:val="28"/>
          <w:szCs w:val="28"/>
          <w:lang w:eastAsia="en-US"/>
        </w:rPr>
      </w:pPr>
    </w:p>
    <w:p w14:paraId="38716081" w14:textId="2A1AE404" w:rsidR="00E63828" w:rsidRPr="00C04BE2" w:rsidRDefault="00E63828" w:rsidP="00E63828">
      <w:pPr>
        <w:jc w:val="both"/>
        <w:rPr>
          <w:rFonts w:ascii="Garamond" w:eastAsiaTheme="minorHAnsi" w:hAnsi="Garamond"/>
          <w:sz w:val="28"/>
          <w:szCs w:val="28"/>
          <w:lang w:eastAsia="en-US"/>
        </w:rPr>
      </w:pPr>
      <w:r w:rsidRPr="00C04BE2">
        <w:rPr>
          <w:rFonts w:ascii="Garamond" w:eastAsiaTheme="minorHAnsi" w:hAnsi="Garamond"/>
          <w:b/>
          <w:sz w:val="28"/>
          <w:szCs w:val="28"/>
          <w:lang w:eastAsia="en-US"/>
        </w:rPr>
        <w:tab/>
      </w:r>
      <w:r w:rsidRPr="00C04BE2">
        <w:rPr>
          <w:rFonts w:ascii="Garamond" w:eastAsiaTheme="minorHAnsi" w:hAnsi="Garamond"/>
          <w:sz w:val="28"/>
          <w:szCs w:val="28"/>
          <w:lang w:eastAsia="en-US"/>
        </w:rPr>
        <w:t>Более двух третей получателей налоговых льгот смогли воспользоваться льготами по налогу на имущество, устанавливаемыми на уровне субъекта РФ. Вторыми по популярности стали льготы по налогу на прибыль – их указали 56,9% респондентов.</w:t>
      </w:r>
    </w:p>
    <w:p w14:paraId="64AA2EA4" w14:textId="6FCC2477" w:rsidR="000D2750" w:rsidRPr="00C04BE2" w:rsidRDefault="000D2750" w:rsidP="00E63828">
      <w:pPr>
        <w:jc w:val="both"/>
        <w:rPr>
          <w:rFonts w:ascii="Garamond" w:eastAsiaTheme="minorHAnsi" w:hAnsi="Garamond"/>
          <w:sz w:val="28"/>
          <w:szCs w:val="28"/>
          <w:lang w:eastAsia="en-US"/>
        </w:rPr>
      </w:pPr>
    </w:p>
    <w:p w14:paraId="059FCFBC" w14:textId="5EF1255A" w:rsidR="000D2750" w:rsidRPr="00C04BE2" w:rsidRDefault="000D2750" w:rsidP="00E63828">
      <w:pPr>
        <w:jc w:val="both"/>
        <w:rPr>
          <w:rFonts w:ascii="Garamond" w:eastAsiaTheme="minorHAnsi" w:hAnsi="Garamond"/>
          <w:sz w:val="28"/>
          <w:szCs w:val="28"/>
          <w:lang w:eastAsia="en-US"/>
        </w:rPr>
      </w:pPr>
    </w:p>
    <w:p w14:paraId="6432E787" w14:textId="0FE90D39" w:rsidR="000D2750" w:rsidRPr="00C04BE2" w:rsidRDefault="000D2750" w:rsidP="00E63828">
      <w:pPr>
        <w:jc w:val="both"/>
        <w:rPr>
          <w:rFonts w:ascii="Garamond" w:eastAsiaTheme="minorHAnsi" w:hAnsi="Garamond"/>
          <w:sz w:val="28"/>
          <w:szCs w:val="28"/>
          <w:lang w:eastAsia="en-US"/>
        </w:rPr>
      </w:pPr>
    </w:p>
    <w:p w14:paraId="7AACFBC0" w14:textId="5942EFDB" w:rsidR="000D2750" w:rsidRPr="00C04BE2" w:rsidRDefault="000D2750" w:rsidP="00E63828">
      <w:pPr>
        <w:jc w:val="both"/>
        <w:rPr>
          <w:rFonts w:ascii="Garamond" w:eastAsiaTheme="minorHAnsi" w:hAnsi="Garamond"/>
          <w:sz w:val="28"/>
          <w:szCs w:val="28"/>
          <w:lang w:eastAsia="en-US"/>
        </w:rPr>
      </w:pPr>
    </w:p>
    <w:p w14:paraId="77F88F2E" w14:textId="1599C3C3" w:rsidR="000D2750" w:rsidRPr="00C04BE2" w:rsidRDefault="000D2750" w:rsidP="00E63828">
      <w:pPr>
        <w:jc w:val="both"/>
        <w:rPr>
          <w:rFonts w:ascii="Garamond" w:eastAsiaTheme="minorHAnsi" w:hAnsi="Garamond"/>
          <w:sz w:val="28"/>
          <w:szCs w:val="28"/>
          <w:lang w:eastAsia="en-US"/>
        </w:rPr>
      </w:pPr>
    </w:p>
    <w:p w14:paraId="46F7C09E" w14:textId="77777777" w:rsidR="000D2750" w:rsidRPr="00C04BE2" w:rsidRDefault="000D2750" w:rsidP="00E63828">
      <w:pPr>
        <w:jc w:val="both"/>
        <w:rPr>
          <w:rFonts w:ascii="Garamond" w:eastAsiaTheme="minorHAnsi" w:hAnsi="Garamond"/>
          <w:sz w:val="28"/>
          <w:szCs w:val="28"/>
          <w:lang w:eastAsia="en-US"/>
        </w:rPr>
      </w:pPr>
    </w:p>
    <w:p w14:paraId="70900ED9" w14:textId="77777777" w:rsidR="005A3CEF" w:rsidRPr="00C04BE2" w:rsidRDefault="005A3CEF" w:rsidP="005A3CEF">
      <w:pPr>
        <w:jc w:val="center"/>
        <w:rPr>
          <w:rFonts w:ascii="Garamond" w:eastAsiaTheme="minorHAnsi" w:hAnsi="Garamond"/>
          <w:b/>
          <w:bCs/>
          <w:sz w:val="28"/>
          <w:szCs w:val="28"/>
          <w:lang w:eastAsia="en-US"/>
        </w:rPr>
      </w:pPr>
      <w:r w:rsidRPr="00C04BE2">
        <w:rPr>
          <w:rFonts w:ascii="Garamond" w:eastAsiaTheme="minorHAnsi" w:hAnsi="Garamond"/>
          <w:b/>
          <w:sz w:val="28"/>
          <w:szCs w:val="28"/>
          <w:lang w:eastAsia="en-US"/>
        </w:rPr>
        <w:lastRenderedPageBreak/>
        <w:t>Инструменты государственной поддержки, которыми пользовались компании в 2019 году, категория «налоговые льготы»</w:t>
      </w:r>
      <w:r w:rsidRPr="00C04BE2">
        <w:rPr>
          <w:rFonts w:ascii="Garamond" w:eastAsiaTheme="minorHAnsi" w:hAnsi="Garamond"/>
          <w:b/>
          <w:bCs/>
          <w:sz w:val="28"/>
          <w:szCs w:val="28"/>
          <w:lang w:eastAsia="en-US"/>
        </w:rPr>
        <w:t>, %</w:t>
      </w:r>
    </w:p>
    <w:p w14:paraId="6196A0CD" w14:textId="77777777" w:rsidR="005A3CEF" w:rsidRPr="00C04BE2" w:rsidRDefault="005A3CEF" w:rsidP="005A3CEF">
      <w:pPr>
        <w:rPr>
          <w:rFonts w:ascii="Garamond" w:eastAsiaTheme="minorHAnsi" w:hAnsi="Garamond"/>
          <w:b/>
          <w:bCs/>
          <w:sz w:val="28"/>
          <w:szCs w:val="28"/>
          <w:lang w:eastAsia="en-US"/>
        </w:rPr>
      </w:pPr>
      <w:r w:rsidRPr="00C04BE2">
        <w:rPr>
          <w:rFonts w:ascii="Garamond" w:hAnsi="Garamond"/>
          <w:bCs/>
          <w:noProof/>
        </w:rPr>
        <w:drawing>
          <wp:inline distT="0" distB="0" distL="0" distR="0" wp14:anchorId="1DADFF37" wp14:editId="3724AD55">
            <wp:extent cx="5943600" cy="1530626"/>
            <wp:effectExtent l="0" t="0" r="19050" b="12700"/>
            <wp:docPr id="207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AA3CFFB" w14:textId="77777777" w:rsidR="005A3CEF" w:rsidRPr="00C04BE2" w:rsidRDefault="005A3CEF" w:rsidP="005A3CEF">
      <w:pPr>
        <w:jc w:val="both"/>
        <w:rPr>
          <w:rFonts w:ascii="Garamond" w:eastAsiaTheme="minorHAnsi" w:hAnsi="Garamond"/>
          <w:i/>
          <w:lang w:eastAsia="en-US"/>
        </w:rPr>
      </w:pPr>
      <w:r w:rsidRPr="00C04BE2">
        <w:rPr>
          <w:rFonts w:ascii="Garamond" w:eastAsiaTheme="minorHAnsi" w:hAnsi="Garamond"/>
          <w:i/>
          <w:lang w:eastAsia="en-US"/>
        </w:rPr>
        <w:t>Доли приведены к числу респондентов, получавших налоговые льготы в 2019 году. Вопрос предполагал возможность множественного выбора ответов, поэтому общее число ответов не сводится к 100%.</w:t>
      </w:r>
    </w:p>
    <w:p w14:paraId="296EC586" w14:textId="77777777" w:rsidR="00E63828" w:rsidRPr="00C04BE2" w:rsidRDefault="00E63828" w:rsidP="00E63828">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 xml:space="preserve">Банковские кредиты по льготной ставке для субъектов малого и среднего предпринимательства получали внутри категории более половины участников опроса. </w:t>
      </w:r>
    </w:p>
    <w:p w14:paraId="199C6A64" w14:textId="77777777" w:rsidR="005A3CEF" w:rsidRPr="00C04BE2" w:rsidRDefault="005A3CEF" w:rsidP="005A3CEF">
      <w:pPr>
        <w:jc w:val="center"/>
        <w:rPr>
          <w:rFonts w:ascii="Garamond" w:eastAsiaTheme="minorHAnsi" w:hAnsi="Garamond"/>
          <w:b/>
          <w:bCs/>
          <w:sz w:val="28"/>
          <w:szCs w:val="28"/>
          <w:lang w:eastAsia="en-US"/>
        </w:rPr>
      </w:pPr>
      <w:r w:rsidRPr="00C04BE2">
        <w:rPr>
          <w:rFonts w:ascii="Garamond" w:eastAsiaTheme="minorHAnsi" w:hAnsi="Garamond"/>
          <w:b/>
          <w:sz w:val="28"/>
          <w:szCs w:val="28"/>
          <w:lang w:eastAsia="en-US"/>
        </w:rPr>
        <w:t>Инструменты государственной поддержки, которыми пользовались компании в 2019 году, категория «поддержка субъектов МСП»</w:t>
      </w:r>
      <w:r w:rsidRPr="00C04BE2">
        <w:rPr>
          <w:rFonts w:ascii="Garamond" w:eastAsiaTheme="minorHAnsi" w:hAnsi="Garamond"/>
          <w:b/>
          <w:bCs/>
          <w:sz w:val="28"/>
          <w:szCs w:val="28"/>
          <w:lang w:eastAsia="en-US"/>
        </w:rPr>
        <w:t>, %</w:t>
      </w:r>
    </w:p>
    <w:p w14:paraId="20AA4776" w14:textId="77777777" w:rsidR="005A3CEF" w:rsidRPr="00C04BE2" w:rsidRDefault="005A3CEF" w:rsidP="005A3CEF">
      <w:pPr>
        <w:rPr>
          <w:rFonts w:ascii="Garamond" w:eastAsiaTheme="minorHAnsi" w:hAnsi="Garamond"/>
          <w:i/>
          <w:lang w:eastAsia="en-US"/>
        </w:rPr>
      </w:pPr>
      <w:r w:rsidRPr="00C04BE2">
        <w:rPr>
          <w:rFonts w:ascii="Garamond" w:hAnsi="Garamond"/>
          <w:bCs/>
          <w:noProof/>
        </w:rPr>
        <w:drawing>
          <wp:inline distT="0" distB="0" distL="0" distR="0" wp14:anchorId="151A733E" wp14:editId="32C3D170">
            <wp:extent cx="5942689" cy="1755913"/>
            <wp:effectExtent l="0" t="0" r="20320" b="15875"/>
            <wp:docPr id="2077"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C04BE2">
        <w:rPr>
          <w:rFonts w:ascii="Garamond" w:eastAsiaTheme="minorHAnsi" w:hAnsi="Garamond"/>
          <w:i/>
          <w:lang w:eastAsia="en-US"/>
        </w:rPr>
        <w:t>Доли приведены к числу респондентов, получавших поддержку субъектов МСП в 2019 году. Вопрос предполагал возможность множественного выбора ответов, поэтому общее число ответов не сводится к 100%.</w:t>
      </w:r>
    </w:p>
    <w:p w14:paraId="3F843822" w14:textId="77777777" w:rsidR="00236344" w:rsidRPr="00C04BE2" w:rsidRDefault="00236344" w:rsidP="00245707">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Остальные инструменты – гранты на поддержку инновационных проектов, социальных или начинающих предпринимателей, субсидии субъектам МСП, а также на поддержку молодёжного предпринимательства, гарантийная поддержка субъектов МСП – были востребованы компаниями примерно в одинаковой степени, здесь доли близки и находятся в интервале от 22,6% до 29%.</w:t>
      </w:r>
    </w:p>
    <w:p w14:paraId="4E6A4804" w14:textId="77777777" w:rsidR="00E63828" w:rsidRPr="00C04BE2" w:rsidRDefault="00E63828" w:rsidP="00245707">
      <w:pPr>
        <w:ind w:firstLine="709"/>
        <w:jc w:val="center"/>
        <w:rPr>
          <w:rFonts w:ascii="Garamond" w:eastAsiaTheme="minorHAnsi" w:hAnsi="Garamond"/>
          <w:b/>
          <w:sz w:val="28"/>
          <w:szCs w:val="28"/>
          <w:lang w:eastAsia="en-US"/>
        </w:rPr>
      </w:pPr>
    </w:p>
    <w:p w14:paraId="5E59AF39" w14:textId="77777777" w:rsidR="00E63828" w:rsidRPr="00C04BE2" w:rsidRDefault="00E63828" w:rsidP="00E63828">
      <w:pPr>
        <w:tabs>
          <w:tab w:val="left" w:pos="567"/>
        </w:tabs>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Наиболее популярным остаётся у респондентов-получателей поддержки Фонд развития промышленности – порядка половины компаний отметили этот институт. На второе место поднялся Российский экспортный центр/Росэксимбанк/ЭКСАР с долей 27,2%. Пятая часть компаний обращалась за поддержкой к Региональным ФРП.</w:t>
      </w:r>
    </w:p>
    <w:p w14:paraId="31A3FB85" w14:textId="77777777" w:rsidR="005A3CEF" w:rsidRPr="00C04BE2" w:rsidRDefault="005A3CEF">
      <w:pPr>
        <w:spacing w:after="200" w:line="276" w:lineRule="auto"/>
        <w:rPr>
          <w:rFonts w:ascii="Garamond" w:eastAsiaTheme="minorHAnsi" w:hAnsi="Garamond"/>
          <w:b/>
          <w:sz w:val="28"/>
          <w:szCs w:val="28"/>
          <w:lang w:eastAsia="en-US"/>
        </w:rPr>
      </w:pPr>
      <w:r w:rsidRPr="00C04BE2">
        <w:rPr>
          <w:rFonts w:ascii="Garamond" w:eastAsiaTheme="minorHAnsi" w:hAnsi="Garamond"/>
          <w:b/>
          <w:sz w:val="28"/>
          <w:szCs w:val="28"/>
          <w:lang w:eastAsia="en-US"/>
        </w:rPr>
        <w:br w:type="page"/>
      </w:r>
    </w:p>
    <w:p w14:paraId="7AF4E0AC" w14:textId="77777777" w:rsidR="005A3CEF" w:rsidRPr="00C04BE2" w:rsidRDefault="005A3CEF" w:rsidP="005A3CEF">
      <w:pPr>
        <w:rPr>
          <w:rFonts w:ascii="Garamond" w:eastAsiaTheme="minorHAnsi" w:hAnsi="Garamond"/>
          <w:b/>
          <w:bCs/>
          <w:sz w:val="28"/>
          <w:szCs w:val="28"/>
          <w:lang w:eastAsia="en-US"/>
        </w:rPr>
      </w:pPr>
      <w:r w:rsidRPr="00C04BE2">
        <w:rPr>
          <w:rFonts w:ascii="Garamond" w:eastAsiaTheme="minorHAnsi" w:hAnsi="Garamond"/>
          <w:b/>
          <w:sz w:val="28"/>
          <w:szCs w:val="28"/>
          <w:lang w:eastAsia="en-US"/>
        </w:rPr>
        <w:lastRenderedPageBreak/>
        <w:t>Институты развития, к которым обращались компании за поддержкой</w:t>
      </w:r>
      <w:r w:rsidRPr="00C04BE2">
        <w:rPr>
          <w:rFonts w:ascii="Garamond" w:eastAsiaTheme="minorHAnsi" w:hAnsi="Garamond"/>
          <w:b/>
          <w:bCs/>
          <w:sz w:val="28"/>
          <w:szCs w:val="28"/>
          <w:lang w:eastAsia="en-US"/>
        </w:rPr>
        <w:t>, %</w:t>
      </w:r>
    </w:p>
    <w:p w14:paraId="1F5C3201" w14:textId="77777777" w:rsidR="005A3CEF" w:rsidRPr="00C04BE2" w:rsidRDefault="005A3CEF" w:rsidP="005A3CEF">
      <w:pPr>
        <w:spacing w:line="360" w:lineRule="auto"/>
        <w:rPr>
          <w:rFonts w:ascii="Garamond" w:eastAsiaTheme="minorHAnsi" w:hAnsi="Garamond"/>
          <w:sz w:val="28"/>
          <w:szCs w:val="28"/>
          <w:lang w:eastAsia="en-US"/>
        </w:rPr>
      </w:pPr>
      <w:r w:rsidRPr="00C04BE2">
        <w:rPr>
          <w:rFonts w:ascii="Garamond" w:hAnsi="Garamond"/>
          <w:bCs/>
          <w:noProof/>
        </w:rPr>
        <w:drawing>
          <wp:inline distT="0" distB="0" distL="0" distR="0" wp14:anchorId="1D468D35" wp14:editId="36A3E3BA">
            <wp:extent cx="5944511" cy="7372681"/>
            <wp:effectExtent l="0" t="0" r="18415" b="19050"/>
            <wp:docPr id="2078"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EF70C3B" w14:textId="77777777" w:rsidR="005A3CEF" w:rsidRPr="00C04BE2" w:rsidRDefault="005A3CEF" w:rsidP="005A3CEF">
      <w:pPr>
        <w:jc w:val="both"/>
        <w:rPr>
          <w:rFonts w:ascii="Garamond" w:eastAsiaTheme="minorHAnsi" w:hAnsi="Garamond"/>
          <w:i/>
          <w:lang w:eastAsia="en-US"/>
        </w:rPr>
      </w:pPr>
      <w:r w:rsidRPr="00C04BE2">
        <w:rPr>
          <w:rFonts w:ascii="Garamond" w:eastAsiaTheme="minorHAnsi" w:hAnsi="Garamond"/>
          <w:i/>
          <w:lang w:eastAsia="en-US"/>
        </w:rPr>
        <w:t xml:space="preserve">В 2019 году в список были добавлены варианты «региональные гарантийные организации» и «индустриальные парки (технопарки), промышленные кластеры». Данные по 2018 году также уточнены. </w:t>
      </w:r>
    </w:p>
    <w:p w14:paraId="569D124B" w14:textId="77777777" w:rsidR="005A3CEF" w:rsidRPr="00C04BE2" w:rsidRDefault="005A3CEF" w:rsidP="005A3CEF">
      <w:pPr>
        <w:jc w:val="both"/>
        <w:rPr>
          <w:rFonts w:ascii="Garamond" w:eastAsiaTheme="minorHAnsi" w:hAnsi="Garamond"/>
          <w:i/>
          <w:lang w:eastAsia="en-US"/>
        </w:rPr>
      </w:pPr>
      <w:r w:rsidRPr="00C04BE2">
        <w:rPr>
          <w:rFonts w:ascii="Garamond" w:eastAsiaTheme="minorHAnsi" w:hAnsi="Garamond"/>
          <w:i/>
          <w:lang w:eastAsia="en-US"/>
        </w:rPr>
        <w:t>Доли приведены к общему числу респондентов, ответивших на вопрос об институтах развития. Вопрос предполагал возможность множественного выбора ответов, поэтому общее число ответов не сводится к 100%.</w:t>
      </w:r>
    </w:p>
    <w:p w14:paraId="62D39F6F" w14:textId="77777777" w:rsidR="005A3CEF" w:rsidRPr="00C04BE2" w:rsidRDefault="005A3CEF" w:rsidP="005A3CEF">
      <w:pPr>
        <w:jc w:val="both"/>
        <w:rPr>
          <w:rFonts w:ascii="Garamond" w:eastAsiaTheme="minorHAnsi" w:hAnsi="Garamond"/>
          <w:sz w:val="28"/>
          <w:szCs w:val="28"/>
          <w:lang w:eastAsia="en-US"/>
        </w:rPr>
      </w:pPr>
    </w:p>
    <w:p w14:paraId="6B985D82" w14:textId="77777777" w:rsidR="00236344" w:rsidRPr="00C04BE2" w:rsidRDefault="00236344" w:rsidP="00245707">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 xml:space="preserve">Организации смогли оценить свой опыт взаимодействия с институтами развития по 5-балльной шкале, где 1 балл – опыт негативный, 3 – удовлетворительный, 5 – положительный. Средневзвешенные оценки возможно </w:t>
      </w:r>
      <w:r w:rsidRPr="00C04BE2">
        <w:rPr>
          <w:rFonts w:ascii="Garamond" w:eastAsiaTheme="minorHAnsi" w:hAnsi="Garamond"/>
          <w:sz w:val="28"/>
          <w:szCs w:val="28"/>
          <w:lang w:eastAsia="en-US"/>
        </w:rPr>
        <w:lastRenderedPageBreak/>
        <w:t xml:space="preserve">привести только по наиболее популярным среди бизнеса институтам развития, так как по ним выборка репрезентативна. </w:t>
      </w:r>
    </w:p>
    <w:p w14:paraId="4F482B8D" w14:textId="77777777" w:rsidR="00236344" w:rsidRPr="00C04BE2" w:rsidRDefault="00236344" w:rsidP="00245707">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Выше всего оценки у Регионального Фонда развития промышленности – средний балл составил 4,3</w:t>
      </w:r>
      <w:r w:rsidRPr="00C04BE2">
        <w:rPr>
          <w:rStyle w:val="a8"/>
          <w:rFonts w:ascii="Garamond" w:eastAsiaTheme="minorHAnsi" w:hAnsi="Garamond"/>
          <w:sz w:val="28"/>
          <w:szCs w:val="28"/>
          <w:lang w:eastAsia="en-US"/>
        </w:rPr>
        <w:footnoteReference w:id="4"/>
      </w:r>
      <w:r w:rsidRPr="00C04BE2">
        <w:rPr>
          <w:rFonts w:ascii="Garamond" w:eastAsiaTheme="minorHAnsi" w:hAnsi="Garamond"/>
          <w:sz w:val="28"/>
          <w:szCs w:val="28"/>
          <w:lang w:eastAsia="en-US"/>
        </w:rPr>
        <w:t>. В 2018 году он был ниже – 3,5 пункта.</w:t>
      </w:r>
    </w:p>
    <w:p w14:paraId="1EBBACA5" w14:textId="77777777" w:rsidR="00236344" w:rsidRPr="00C04BE2" w:rsidRDefault="00236344" w:rsidP="00245707">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 xml:space="preserve">Средняя оценка ФРП за отчётный период – 4 балла, оценки этого института развития почти не изменились. </w:t>
      </w:r>
    </w:p>
    <w:p w14:paraId="20DB096A" w14:textId="77777777" w:rsidR="00236344" w:rsidRPr="00C04BE2" w:rsidRDefault="00236344" w:rsidP="00245707">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Средняя оценка институтов развития, направленных на поддержку экспорта,</w:t>
      </w:r>
      <w:r w:rsidR="0083719D" w:rsidRPr="00C04BE2">
        <w:rPr>
          <w:rFonts w:ascii="Garamond" w:eastAsiaTheme="minorHAnsi" w:hAnsi="Garamond"/>
          <w:sz w:val="28"/>
          <w:szCs w:val="28"/>
          <w:lang w:eastAsia="en-US"/>
        </w:rPr>
        <w:t xml:space="preserve"> </w:t>
      </w:r>
      <w:r w:rsidRPr="00C04BE2">
        <w:rPr>
          <w:rFonts w:ascii="Garamond" w:eastAsiaTheme="minorHAnsi" w:hAnsi="Garamond"/>
          <w:sz w:val="28"/>
          <w:szCs w:val="28"/>
          <w:lang w:eastAsia="en-US"/>
        </w:rPr>
        <w:t>– Росэксимбанк / Эксар / РЭЦ – 3,9 балла. За год этот институт развития улучшил свои оценки – в 2018 году среднее было равно 3,1.</w:t>
      </w:r>
    </w:p>
    <w:p w14:paraId="0E04E853" w14:textId="77777777" w:rsidR="00236344" w:rsidRPr="00C04BE2" w:rsidRDefault="00236344" w:rsidP="00245707">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Участники опроса скорее довольны своим опытом взаимодействия с рассматриваемыми институтами развития – более половины компаний во всех случаях остановились на оценке «5».</w:t>
      </w:r>
    </w:p>
    <w:p w14:paraId="6D517032" w14:textId="77777777" w:rsidR="00236344" w:rsidRPr="00C04BE2" w:rsidRDefault="00236344" w:rsidP="00245707">
      <w:pPr>
        <w:rPr>
          <w:rFonts w:ascii="Garamond" w:eastAsiaTheme="minorHAnsi" w:hAnsi="Garamond"/>
          <w:b/>
          <w:bCs/>
          <w:sz w:val="28"/>
          <w:szCs w:val="28"/>
          <w:lang w:eastAsia="en-US"/>
        </w:rPr>
      </w:pPr>
    </w:p>
    <w:p w14:paraId="684A2945" w14:textId="77777777" w:rsidR="00236344" w:rsidRPr="00C04BE2" w:rsidRDefault="00236344" w:rsidP="00847005">
      <w:pPr>
        <w:ind w:firstLine="708"/>
        <w:jc w:val="both"/>
        <w:rPr>
          <w:rFonts w:ascii="Garamond" w:eastAsiaTheme="minorHAnsi" w:hAnsi="Garamond"/>
          <w:bCs/>
          <w:sz w:val="28"/>
          <w:szCs w:val="28"/>
          <w:lang w:eastAsia="en-US"/>
        </w:rPr>
      </w:pPr>
      <w:r w:rsidRPr="00C04BE2">
        <w:rPr>
          <w:rFonts w:ascii="Garamond" w:eastAsiaTheme="minorHAnsi" w:hAnsi="Garamond"/>
          <w:bCs/>
          <w:sz w:val="28"/>
          <w:szCs w:val="28"/>
          <w:lang w:eastAsia="en-US"/>
        </w:rPr>
        <w:t>Из компаний, которые не получали поддержки со стороны государства, планируют обратиться за субсидиями 17,6%. Примерно столько же респондентов ответили, что хотят применить налоговые льготы. В займах заинтересованы 15,8% организаций. Десятая часть компаний планирует получить государственные гарантии.</w:t>
      </w:r>
      <w:r w:rsidR="00847005" w:rsidRPr="00C04BE2">
        <w:rPr>
          <w:rFonts w:ascii="Garamond" w:eastAsiaTheme="minorHAnsi" w:hAnsi="Garamond"/>
          <w:bCs/>
          <w:sz w:val="28"/>
          <w:szCs w:val="28"/>
          <w:lang w:eastAsia="en-US"/>
        </w:rPr>
        <w:t xml:space="preserve"> </w:t>
      </w:r>
      <w:r w:rsidRPr="00C04BE2">
        <w:rPr>
          <w:rFonts w:ascii="Garamond" w:eastAsiaTheme="minorHAnsi" w:hAnsi="Garamond"/>
          <w:bCs/>
          <w:sz w:val="28"/>
          <w:szCs w:val="28"/>
          <w:lang w:eastAsia="en-US"/>
        </w:rPr>
        <w:t>Только 7,6% предприятий отметили вариант «нефинансовая поддержка (информационная, консультационная)».</w:t>
      </w:r>
    </w:p>
    <w:p w14:paraId="001E26B2" w14:textId="77777777" w:rsidR="00236344" w:rsidRPr="00C04BE2" w:rsidRDefault="00236344" w:rsidP="00245707">
      <w:pPr>
        <w:jc w:val="center"/>
        <w:rPr>
          <w:rFonts w:ascii="Garamond" w:eastAsiaTheme="minorHAnsi" w:hAnsi="Garamond"/>
          <w:sz w:val="28"/>
          <w:szCs w:val="28"/>
          <w:lang w:eastAsia="en-US"/>
        </w:rPr>
      </w:pPr>
    </w:p>
    <w:p w14:paraId="1FBF19FD" w14:textId="77777777" w:rsidR="00236344" w:rsidRPr="00C04BE2" w:rsidRDefault="00236344" w:rsidP="00245707">
      <w:pPr>
        <w:ind w:firstLine="709"/>
        <w:jc w:val="both"/>
        <w:rPr>
          <w:rFonts w:ascii="Garamond" w:eastAsiaTheme="minorHAnsi" w:hAnsi="Garamond"/>
          <w:bCs/>
          <w:sz w:val="28"/>
          <w:szCs w:val="28"/>
          <w:lang w:eastAsia="en-US"/>
        </w:rPr>
      </w:pPr>
      <w:r w:rsidRPr="00C04BE2">
        <w:rPr>
          <w:rFonts w:ascii="Garamond" w:eastAsiaTheme="minorHAnsi" w:hAnsi="Garamond"/>
          <w:bCs/>
          <w:sz w:val="28"/>
          <w:szCs w:val="28"/>
          <w:lang w:eastAsia="en-US"/>
        </w:rPr>
        <w:t xml:space="preserve">Главная причина, по которой компании не пользовались государственной поддержкой, </w:t>
      </w:r>
      <w:r w:rsidRPr="00C04BE2">
        <w:rPr>
          <w:rFonts w:ascii="Garamond" w:eastAsiaTheme="minorHAnsi" w:hAnsi="Garamond"/>
          <w:sz w:val="28"/>
          <w:szCs w:val="28"/>
          <w:lang w:eastAsia="en-US"/>
        </w:rPr>
        <w:t xml:space="preserve">– </w:t>
      </w:r>
      <w:r w:rsidRPr="00C04BE2">
        <w:rPr>
          <w:rFonts w:ascii="Garamond" w:eastAsiaTheme="minorHAnsi" w:hAnsi="Garamond"/>
          <w:bCs/>
          <w:sz w:val="28"/>
          <w:szCs w:val="28"/>
          <w:lang w:eastAsia="en-US"/>
        </w:rPr>
        <w:t xml:space="preserve">сложные процедуры получения и отчётности. Более половины респондентов согласились с этим. Вторым по популярности ответом стал «неадекватные требования и </w:t>
      </w:r>
      <w:r w:rsidR="00CA60DF" w:rsidRPr="00C04BE2">
        <w:rPr>
          <w:rFonts w:ascii="Garamond" w:eastAsiaTheme="minorHAnsi" w:hAnsi="Garamond"/>
          <w:bCs/>
          <w:sz w:val="28"/>
          <w:szCs w:val="28"/>
          <w:lang w:eastAsia="en-US"/>
        </w:rPr>
        <w:t xml:space="preserve">критерии </w:t>
      </w:r>
      <w:r w:rsidRPr="00C04BE2">
        <w:rPr>
          <w:rFonts w:ascii="Garamond" w:eastAsiaTheme="minorHAnsi" w:hAnsi="Garamond"/>
          <w:bCs/>
          <w:sz w:val="28"/>
          <w:szCs w:val="28"/>
          <w:lang w:eastAsia="en-US"/>
        </w:rPr>
        <w:t>предоставления поддержки», набравший долю 41,3%.</w:t>
      </w:r>
    </w:p>
    <w:p w14:paraId="0154AF8B" w14:textId="77777777" w:rsidR="00236344" w:rsidRPr="00C04BE2" w:rsidRDefault="00236344" w:rsidP="00245707">
      <w:pPr>
        <w:ind w:firstLine="709"/>
        <w:jc w:val="both"/>
        <w:rPr>
          <w:rFonts w:ascii="Garamond" w:eastAsiaTheme="minorHAnsi" w:hAnsi="Garamond"/>
          <w:bCs/>
          <w:sz w:val="28"/>
          <w:szCs w:val="28"/>
          <w:lang w:eastAsia="en-US"/>
        </w:rPr>
      </w:pPr>
      <w:r w:rsidRPr="00C04BE2">
        <w:rPr>
          <w:rFonts w:ascii="Garamond" w:eastAsiaTheme="minorHAnsi" w:hAnsi="Garamond"/>
          <w:bCs/>
          <w:sz w:val="28"/>
          <w:szCs w:val="28"/>
          <w:lang w:eastAsia="en-US"/>
        </w:rPr>
        <w:t xml:space="preserve">Четверть участников опроса считает, что у компании нет необходимости в получении поддержки. Примерно такую же долю составил вариант, который был добавлен в список в 2019 году, </w:t>
      </w:r>
      <w:r w:rsidRPr="00C04BE2">
        <w:rPr>
          <w:rFonts w:ascii="Garamond" w:eastAsiaTheme="minorHAnsi" w:hAnsi="Garamond"/>
          <w:sz w:val="28"/>
          <w:szCs w:val="28"/>
          <w:lang w:eastAsia="en-US"/>
        </w:rPr>
        <w:t xml:space="preserve">– </w:t>
      </w:r>
      <w:r w:rsidRPr="00C04BE2">
        <w:rPr>
          <w:rFonts w:ascii="Garamond" w:eastAsiaTheme="minorHAnsi" w:hAnsi="Garamond"/>
          <w:bCs/>
          <w:sz w:val="28"/>
          <w:szCs w:val="28"/>
          <w:lang w:eastAsia="en-US"/>
        </w:rPr>
        <w:t>«неясность правил поддержки и/или частая их смена». 21,4% организаций не доверяют государственной поддержке в любой форме.</w:t>
      </w:r>
    </w:p>
    <w:p w14:paraId="28DF24F0" w14:textId="77777777" w:rsidR="00236344" w:rsidRPr="00C04BE2" w:rsidRDefault="00236344" w:rsidP="00245707">
      <w:pPr>
        <w:ind w:firstLine="708"/>
        <w:jc w:val="both"/>
        <w:rPr>
          <w:rFonts w:ascii="Garamond" w:eastAsiaTheme="minorHAnsi" w:hAnsi="Garamond"/>
          <w:bCs/>
          <w:sz w:val="28"/>
          <w:szCs w:val="28"/>
          <w:lang w:eastAsia="en-US"/>
        </w:rPr>
      </w:pPr>
      <w:r w:rsidRPr="00C04BE2">
        <w:rPr>
          <w:rFonts w:ascii="Garamond" w:eastAsiaTheme="minorHAnsi" w:hAnsi="Garamond"/>
          <w:bCs/>
          <w:sz w:val="28"/>
          <w:szCs w:val="28"/>
          <w:lang w:eastAsia="en-US"/>
        </w:rPr>
        <w:t>15,1% компаний останавливает от обращения за поддержкой человеческий фактор (непонимание потребностей бизнеса, некомпетентность, излишний бюрократизм). Десятая часть предприятий видит недостаточность предлагаемой поддержки, нехватку необходимых средств у институтов развития.</w:t>
      </w:r>
    </w:p>
    <w:p w14:paraId="1398E2EF" w14:textId="77777777" w:rsidR="005A3CEF" w:rsidRPr="00C04BE2" w:rsidRDefault="005A3CEF">
      <w:pPr>
        <w:spacing w:after="200" w:line="276" w:lineRule="auto"/>
        <w:rPr>
          <w:rFonts w:ascii="Garamond" w:eastAsiaTheme="minorHAnsi" w:hAnsi="Garamond"/>
          <w:b/>
          <w:bCs/>
          <w:sz w:val="28"/>
          <w:szCs w:val="28"/>
          <w:lang w:eastAsia="en-US"/>
        </w:rPr>
      </w:pPr>
      <w:r w:rsidRPr="00C04BE2">
        <w:rPr>
          <w:rFonts w:ascii="Garamond" w:eastAsiaTheme="minorHAnsi" w:hAnsi="Garamond"/>
          <w:b/>
          <w:bCs/>
          <w:sz w:val="28"/>
          <w:szCs w:val="28"/>
          <w:lang w:eastAsia="en-US"/>
        </w:rPr>
        <w:br w:type="page"/>
      </w:r>
    </w:p>
    <w:p w14:paraId="6B469E56" w14:textId="77777777" w:rsidR="005A3CEF" w:rsidRPr="00C04BE2" w:rsidRDefault="005A3CEF" w:rsidP="005A3CEF">
      <w:pPr>
        <w:ind w:firstLine="709"/>
        <w:jc w:val="center"/>
        <w:rPr>
          <w:rFonts w:ascii="Garamond" w:eastAsiaTheme="minorHAnsi" w:hAnsi="Garamond"/>
          <w:b/>
          <w:bCs/>
          <w:sz w:val="28"/>
          <w:szCs w:val="28"/>
          <w:lang w:eastAsia="en-US"/>
        </w:rPr>
      </w:pPr>
      <w:r w:rsidRPr="00C04BE2">
        <w:rPr>
          <w:rFonts w:ascii="Garamond" w:eastAsiaTheme="minorHAnsi" w:hAnsi="Garamond"/>
          <w:b/>
          <w:bCs/>
          <w:sz w:val="28"/>
          <w:szCs w:val="28"/>
          <w:lang w:eastAsia="en-US"/>
        </w:rPr>
        <w:lastRenderedPageBreak/>
        <w:t xml:space="preserve">Причины, по которым компании не пользовались государственной поддержкой в 2018 </w:t>
      </w:r>
      <w:r w:rsidRPr="00C04BE2">
        <w:rPr>
          <w:rFonts w:ascii="Garamond" w:eastAsiaTheme="minorHAnsi" w:hAnsi="Garamond"/>
          <w:b/>
          <w:sz w:val="28"/>
          <w:szCs w:val="28"/>
          <w:lang w:eastAsia="en-US"/>
        </w:rPr>
        <w:t>–</w:t>
      </w:r>
      <w:r w:rsidRPr="00C04BE2">
        <w:rPr>
          <w:rFonts w:ascii="Garamond" w:eastAsiaTheme="minorHAnsi" w:hAnsi="Garamond"/>
          <w:b/>
          <w:bCs/>
          <w:sz w:val="28"/>
          <w:szCs w:val="28"/>
          <w:lang w:eastAsia="en-US"/>
        </w:rPr>
        <w:t xml:space="preserve"> 2019 годах, %</w:t>
      </w:r>
    </w:p>
    <w:p w14:paraId="0F353195" w14:textId="77777777" w:rsidR="005A3CEF" w:rsidRPr="00C04BE2" w:rsidRDefault="005A3CEF" w:rsidP="005A3CEF">
      <w:pPr>
        <w:rPr>
          <w:rFonts w:ascii="Garamond" w:eastAsiaTheme="minorHAnsi" w:hAnsi="Garamond"/>
          <w:i/>
          <w:lang w:eastAsia="en-US"/>
        </w:rPr>
      </w:pPr>
      <w:r w:rsidRPr="00C04BE2">
        <w:rPr>
          <w:rFonts w:ascii="Garamond" w:hAnsi="Garamond"/>
          <w:bCs/>
          <w:noProof/>
        </w:rPr>
        <w:drawing>
          <wp:inline distT="0" distB="0" distL="0" distR="0" wp14:anchorId="48641642" wp14:editId="42B6CAF4">
            <wp:extent cx="5930348" cy="3516299"/>
            <wp:effectExtent l="0" t="0" r="13335" b="27305"/>
            <wp:docPr id="2079"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C04BE2">
        <w:rPr>
          <w:rFonts w:ascii="Garamond" w:eastAsiaTheme="minorHAnsi" w:hAnsi="Garamond"/>
          <w:i/>
          <w:lang w:eastAsia="en-US"/>
        </w:rPr>
        <w:t>Доли приведены к общему числу респондентов, НЕ получавших поддержку в 2019 году. В список был добавлен вариант «неясные правила получения поддержки и/или частая их смена», результаты по 2018 году уточнены. Вопрос предполагал возможность множественного выбора ответов, поэтому общее число ответов не сводится к 100%.</w:t>
      </w:r>
    </w:p>
    <w:p w14:paraId="06BBE564" w14:textId="77777777" w:rsidR="00236344" w:rsidRPr="00C04BE2" w:rsidRDefault="00236344" w:rsidP="00245707">
      <w:pPr>
        <w:ind w:firstLine="709"/>
        <w:jc w:val="both"/>
        <w:rPr>
          <w:rFonts w:ascii="Garamond" w:eastAsiaTheme="minorHAnsi" w:hAnsi="Garamond"/>
          <w:sz w:val="28"/>
          <w:szCs w:val="28"/>
          <w:lang w:eastAsia="en-US"/>
        </w:rPr>
      </w:pPr>
    </w:p>
    <w:p w14:paraId="715BF302" w14:textId="77777777" w:rsidR="00236344" w:rsidRPr="00C04BE2" w:rsidRDefault="00236344" w:rsidP="00245707">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В ходе опроса все респонденты смогли оценить, какие именно меры государственной поддержки необходимы для развития компании, а какие – в целом для ускорения экономического роста в стране.</w:t>
      </w:r>
    </w:p>
    <w:p w14:paraId="6F869114" w14:textId="77777777" w:rsidR="00236344" w:rsidRPr="00C04BE2" w:rsidRDefault="00236344" w:rsidP="00245707">
      <w:pPr>
        <w:ind w:firstLine="709"/>
        <w:jc w:val="both"/>
        <w:rPr>
          <w:rFonts w:ascii="Garamond" w:eastAsiaTheme="minorHAnsi" w:hAnsi="Garamond"/>
          <w:sz w:val="28"/>
          <w:szCs w:val="28"/>
          <w:lang w:eastAsia="en-US"/>
        </w:rPr>
      </w:pPr>
    </w:p>
    <w:p w14:paraId="1878A820" w14:textId="77777777" w:rsidR="005A3CEF" w:rsidRPr="00C04BE2" w:rsidRDefault="005A3CEF" w:rsidP="005A3CEF">
      <w:pPr>
        <w:ind w:firstLine="709"/>
        <w:jc w:val="center"/>
        <w:rPr>
          <w:rFonts w:ascii="Garamond" w:eastAsiaTheme="minorHAnsi" w:hAnsi="Garamond"/>
          <w:b/>
          <w:bCs/>
          <w:sz w:val="28"/>
          <w:szCs w:val="28"/>
          <w:lang w:eastAsia="en-US"/>
        </w:rPr>
      </w:pPr>
      <w:r w:rsidRPr="00C04BE2">
        <w:rPr>
          <w:rFonts w:ascii="Garamond" w:eastAsiaTheme="minorHAnsi" w:hAnsi="Garamond"/>
          <w:b/>
          <w:bCs/>
          <w:sz w:val="28"/>
          <w:szCs w:val="28"/>
          <w:lang w:eastAsia="en-US"/>
        </w:rPr>
        <w:t>Меры государственной поддержки, необходимые для…, %</w:t>
      </w:r>
    </w:p>
    <w:p w14:paraId="67D690D7" w14:textId="77777777" w:rsidR="005A3CEF" w:rsidRPr="00C04BE2" w:rsidRDefault="005A3CEF" w:rsidP="005A3CEF">
      <w:pPr>
        <w:spacing w:line="360" w:lineRule="auto"/>
        <w:rPr>
          <w:rFonts w:ascii="Garamond" w:eastAsiaTheme="minorHAnsi" w:hAnsi="Garamond"/>
          <w:i/>
          <w:lang w:eastAsia="en-US"/>
        </w:rPr>
      </w:pPr>
      <w:r w:rsidRPr="00C04BE2">
        <w:rPr>
          <w:rFonts w:ascii="Garamond" w:eastAsiaTheme="minorHAnsi" w:hAnsi="Garamond"/>
          <w:b/>
          <w:bCs/>
          <w:noProof/>
          <w:sz w:val="28"/>
          <w:szCs w:val="28"/>
        </w:rPr>
        <w:drawing>
          <wp:inline distT="0" distB="0" distL="0" distR="0" wp14:anchorId="7994B878" wp14:editId="5975DEE2">
            <wp:extent cx="5930348" cy="2212616"/>
            <wp:effectExtent l="0" t="0" r="13335" b="16510"/>
            <wp:docPr id="128"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C04BE2">
        <w:rPr>
          <w:rFonts w:ascii="Garamond" w:eastAsiaTheme="minorHAnsi" w:hAnsi="Garamond"/>
          <w:i/>
          <w:lang w:eastAsia="en-US"/>
        </w:rPr>
        <w:t>Вопрос предполагал возможность выбора двух ответов, поэтому общее число ответов не сводится к 100%.</w:t>
      </w:r>
    </w:p>
    <w:p w14:paraId="2D7F714E" w14:textId="77777777" w:rsidR="00236344" w:rsidRPr="00C04BE2" w:rsidRDefault="00236344" w:rsidP="00245707">
      <w:pPr>
        <w:ind w:firstLine="709"/>
        <w:jc w:val="both"/>
        <w:rPr>
          <w:rFonts w:ascii="Garamond" w:eastAsiaTheme="minorHAnsi" w:hAnsi="Garamond"/>
          <w:sz w:val="28"/>
          <w:szCs w:val="28"/>
          <w:lang w:eastAsia="en-US"/>
        </w:rPr>
      </w:pPr>
    </w:p>
    <w:p w14:paraId="0D2A9814" w14:textId="77777777" w:rsidR="00236344" w:rsidRPr="00C04BE2" w:rsidRDefault="00236344" w:rsidP="00245707">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 xml:space="preserve">Большая часть компаний заинтересована в налоговых льготах (59,6%), займах (49,6%) и субсидиях (43,2%). Государственные закупки популярны среди </w:t>
      </w:r>
      <w:r w:rsidRPr="00C04BE2">
        <w:rPr>
          <w:rFonts w:ascii="Garamond" w:eastAsiaTheme="minorHAnsi" w:hAnsi="Garamond"/>
          <w:sz w:val="28"/>
          <w:szCs w:val="28"/>
          <w:lang w:eastAsia="en-US"/>
        </w:rPr>
        <w:lastRenderedPageBreak/>
        <w:t>24% организаций. Государственно-частное партнёрство необходимо 13,2% предприятий. Такую же долю составил ответ «нефинансовая поддержка».</w:t>
      </w:r>
    </w:p>
    <w:p w14:paraId="3618E978" w14:textId="77777777" w:rsidR="00236344" w:rsidRPr="00C04BE2" w:rsidRDefault="00236344" w:rsidP="00FE07F4">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 xml:space="preserve">Если говорить о тех мерах, которые могут, по мнению респондентов, повлиять на экономический рост в целом, то здесь на первое место с большим отрывом выходят налоговые льготы – их отметили уже 70,6% компаний. Респонденты также чаще стали указывать вариант «Государственно-частное партнёрство». </w:t>
      </w:r>
    </w:p>
    <w:p w14:paraId="74C16EE4" w14:textId="77777777" w:rsidR="00236344" w:rsidRPr="00C04BE2" w:rsidRDefault="00236344" w:rsidP="00FE07F4">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Почти половина организаций уверен</w:t>
      </w:r>
      <w:r w:rsidR="00D8550C" w:rsidRPr="00C04BE2">
        <w:rPr>
          <w:rFonts w:ascii="Garamond" w:eastAsiaTheme="minorHAnsi" w:hAnsi="Garamond"/>
          <w:sz w:val="28"/>
          <w:szCs w:val="28"/>
          <w:lang w:eastAsia="en-US"/>
        </w:rPr>
        <w:t>ы</w:t>
      </w:r>
      <w:r w:rsidRPr="00C04BE2">
        <w:rPr>
          <w:rFonts w:ascii="Garamond" w:eastAsiaTheme="minorHAnsi" w:hAnsi="Garamond"/>
          <w:sz w:val="28"/>
          <w:szCs w:val="28"/>
          <w:lang w:eastAsia="en-US"/>
        </w:rPr>
        <w:t>, что их компаниям нужна субсидиарная поддержка, однако популярность этой меры снижается до 35,3%, когда компании пытаются оценить, что именно решит задачу ускорения экономического роста.</w:t>
      </w:r>
    </w:p>
    <w:p w14:paraId="3BC819EA" w14:textId="77777777" w:rsidR="00236344" w:rsidRPr="00C04BE2" w:rsidRDefault="00236344" w:rsidP="00FE07F4">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При ответе, какие меры необходимы для ускорения экономического роста, доля комбинации «льготные займы и налоговые льготы» выросла до 38%. Доли других рассматриваемых наборов – «налоговые льготы и субсидии», «субсидии и льготные займы» – остались примерно такими же, как были.</w:t>
      </w:r>
    </w:p>
    <w:p w14:paraId="0696EDDE" w14:textId="77777777" w:rsidR="0040257C" w:rsidRPr="00C04BE2" w:rsidRDefault="0040257C" w:rsidP="00245707">
      <w:pPr>
        <w:ind w:firstLine="709"/>
        <w:jc w:val="both"/>
        <w:rPr>
          <w:rFonts w:ascii="Garamond" w:eastAsiaTheme="minorHAnsi" w:hAnsi="Garamond"/>
          <w:sz w:val="28"/>
          <w:szCs w:val="28"/>
          <w:lang w:eastAsia="en-US"/>
        </w:rPr>
      </w:pPr>
    </w:p>
    <w:p w14:paraId="75D1AF1E" w14:textId="77777777" w:rsidR="00B02F6A" w:rsidRPr="00C04BE2" w:rsidRDefault="00B02F6A" w:rsidP="00245707">
      <w:pPr>
        <w:pStyle w:val="1"/>
        <w:rPr>
          <w:rFonts w:ascii="Garamond" w:hAnsi="Garamond"/>
        </w:rPr>
      </w:pPr>
      <w:bookmarkStart w:id="14" w:name="_Toc474765187"/>
      <w:bookmarkStart w:id="15" w:name="_Toc52745684"/>
      <w:bookmarkEnd w:id="4"/>
      <w:r w:rsidRPr="00C04BE2">
        <w:rPr>
          <w:rFonts w:ascii="Garamond" w:hAnsi="Garamond"/>
        </w:rPr>
        <w:t>Защита прав компании</w:t>
      </w:r>
      <w:bookmarkEnd w:id="14"/>
      <w:bookmarkEnd w:id="15"/>
    </w:p>
    <w:p w14:paraId="12FB7112" w14:textId="77777777" w:rsidR="00B02F6A" w:rsidRPr="00C04BE2" w:rsidRDefault="00B02F6A" w:rsidP="00245707">
      <w:pPr>
        <w:jc w:val="center"/>
        <w:rPr>
          <w:rFonts w:ascii="Garamond" w:eastAsiaTheme="minorHAnsi" w:hAnsi="Garamond"/>
          <w:b/>
          <w:bCs/>
          <w:sz w:val="28"/>
          <w:szCs w:val="28"/>
          <w:lang w:eastAsia="en-US"/>
        </w:rPr>
      </w:pPr>
    </w:p>
    <w:p w14:paraId="69F73720" w14:textId="77777777" w:rsidR="00B02F6A" w:rsidRPr="00C04BE2" w:rsidRDefault="00B02F6A" w:rsidP="00245707">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Защищать свои права и разрешать споры российский бизнес предпочитает в суде. Подавляющее большинство респондентов – 82,6% – уверено, отстаивать свои интересы эффективнее всего при судебных разбирательствах.</w:t>
      </w:r>
    </w:p>
    <w:p w14:paraId="4C0AC75A" w14:textId="77777777" w:rsidR="00B02F6A" w:rsidRPr="00C04BE2" w:rsidRDefault="00B02F6A" w:rsidP="00245707">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Два следующих по популярности ответа – «лучше всего обратиться в федеральные органы исполнительной власти» и/или «действовать самостоятельно» – набрали уже менее 33,3%.</w:t>
      </w:r>
    </w:p>
    <w:p w14:paraId="548EA3C8" w14:textId="77777777" w:rsidR="00B02F6A" w:rsidRPr="00C04BE2" w:rsidRDefault="00B02F6A" w:rsidP="00245707">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Пятая часть компаний считает, эффективным станет обращение в региональные администрации / муниципалитеты. Такую же долю составил вариант «разбирательства в российских третейских судах, органах медиации».</w:t>
      </w:r>
    </w:p>
    <w:p w14:paraId="7F2E128F" w14:textId="77777777" w:rsidR="00B02F6A" w:rsidRPr="00C04BE2" w:rsidRDefault="00B02F6A" w:rsidP="00245707">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15,6% назвали эффективным обращение в общественные или иные объединения предпринимателей.</w:t>
      </w:r>
      <w:r w:rsidR="00650249" w:rsidRPr="00C04BE2">
        <w:rPr>
          <w:rFonts w:ascii="Garamond" w:eastAsiaTheme="minorHAnsi" w:hAnsi="Garamond"/>
          <w:sz w:val="28"/>
          <w:szCs w:val="28"/>
          <w:lang w:eastAsia="en-US"/>
        </w:rPr>
        <w:t xml:space="preserve"> </w:t>
      </w:r>
      <w:r w:rsidRPr="00C04BE2">
        <w:rPr>
          <w:rFonts w:ascii="Garamond" w:eastAsiaTheme="minorHAnsi" w:hAnsi="Garamond"/>
          <w:sz w:val="28"/>
          <w:szCs w:val="28"/>
          <w:lang w:eastAsia="en-US"/>
        </w:rPr>
        <w:t>Чуть меньше – 13,2% – доля тех, кто надеется на помощь СМИ.</w:t>
      </w:r>
    </w:p>
    <w:p w14:paraId="258AEF29" w14:textId="4D080B4F" w:rsidR="00B02F6A" w:rsidRDefault="00B02F6A" w:rsidP="00245707">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Пессимистично настроены только 6,2% компаний, по их мнению, эффективных способов защитить свои права в России нет.</w:t>
      </w:r>
    </w:p>
    <w:p w14:paraId="48A6C2A5" w14:textId="7266BC57" w:rsidR="0026085E" w:rsidRDefault="0026085E" w:rsidP="00245707">
      <w:pPr>
        <w:ind w:firstLine="709"/>
        <w:jc w:val="both"/>
        <w:rPr>
          <w:rFonts w:ascii="Garamond" w:eastAsiaTheme="minorHAnsi" w:hAnsi="Garamond"/>
          <w:sz w:val="28"/>
          <w:szCs w:val="28"/>
          <w:lang w:eastAsia="en-US"/>
        </w:rPr>
      </w:pPr>
      <w:r>
        <w:rPr>
          <w:rFonts w:ascii="Garamond" w:eastAsiaTheme="minorHAnsi" w:hAnsi="Garamond"/>
          <w:sz w:val="28"/>
          <w:szCs w:val="28"/>
          <w:lang w:eastAsia="en-US"/>
        </w:rPr>
        <w:br w:type="page"/>
      </w:r>
    </w:p>
    <w:p w14:paraId="6A545D00" w14:textId="77777777" w:rsidR="0026085E" w:rsidRPr="00C04BE2" w:rsidRDefault="0026085E" w:rsidP="00245707">
      <w:pPr>
        <w:ind w:firstLine="709"/>
        <w:jc w:val="both"/>
        <w:rPr>
          <w:rFonts w:ascii="Garamond" w:eastAsiaTheme="minorHAnsi" w:hAnsi="Garamond"/>
          <w:sz w:val="28"/>
          <w:szCs w:val="28"/>
          <w:lang w:eastAsia="en-US"/>
        </w:rPr>
      </w:pPr>
    </w:p>
    <w:p w14:paraId="5E05D16F" w14:textId="77777777" w:rsidR="00D8550C" w:rsidRPr="00C04BE2" w:rsidRDefault="00D8550C" w:rsidP="00D8550C">
      <w:pPr>
        <w:jc w:val="center"/>
        <w:rPr>
          <w:rFonts w:ascii="Garamond" w:eastAsiaTheme="minorHAnsi" w:hAnsi="Garamond"/>
          <w:b/>
          <w:bCs/>
          <w:sz w:val="28"/>
          <w:szCs w:val="28"/>
          <w:lang w:val="en-US" w:eastAsia="en-US"/>
        </w:rPr>
      </w:pPr>
      <w:r w:rsidRPr="00C04BE2">
        <w:rPr>
          <w:rFonts w:ascii="Garamond" w:eastAsiaTheme="minorHAnsi" w:hAnsi="Garamond"/>
          <w:b/>
          <w:bCs/>
          <w:sz w:val="28"/>
          <w:szCs w:val="28"/>
          <w:lang w:eastAsia="en-US"/>
        </w:rPr>
        <w:t>Компания может сегодня наиболее эффективно защитить свои права и разрешать споры, обратившись… %</w:t>
      </w:r>
    </w:p>
    <w:p w14:paraId="20406B7D" w14:textId="77777777" w:rsidR="00D8550C" w:rsidRPr="00C04BE2" w:rsidRDefault="00D8550C" w:rsidP="00D8550C">
      <w:pPr>
        <w:rPr>
          <w:rFonts w:ascii="Garamond" w:eastAsiaTheme="minorHAnsi" w:hAnsi="Garamond"/>
          <w:sz w:val="28"/>
          <w:szCs w:val="28"/>
          <w:lang w:eastAsia="en-US"/>
        </w:rPr>
      </w:pPr>
      <w:r w:rsidRPr="00C04BE2">
        <w:rPr>
          <w:rFonts w:ascii="Garamond" w:hAnsi="Garamond"/>
          <w:bCs/>
          <w:noProof/>
        </w:rPr>
        <w:drawing>
          <wp:inline distT="0" distB="0" distL="0" distR="0" wp14:anchorId="2A6C3E81" wp14:editId="15A69EC0">
            <wp:extent cx="5944511" cy="3445565"/>
            <wp:effectExtent l="0" t="0" r="18415" b="21590"/>
            <wp:docPr id="27"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2685DEB" w14:textId="77777777" w:rsidR="00D8550C" w:rsidRPr="00C04BE2" w:rsidRDefault="00D8550C" w:rsidP="00D8550C">
      <w:pPr>
        <w:jc w:val="both"/>
        <w:rPr>
          <w:rFonts w:ascii="Garamond" w:eastAsiaTheme="minorHAnsi" w:hAnsi="Garamond"/>
          <w:i/>
          <w:lang w:eastAsia="en-US"/>
        </w:rPr>
      </w:pPr>
      <w:r w:rsidRPr="00C04BE2">
        <w:rPr>
          <w:rFonts w:ascii="Garamond" w:eastAsiaTheme="minorHAnsi" w:hAnsi="Garamond"/>
          <w:i/>
          <w:lang w:eastAsia="en-US"/>
        </w:rPr>
        <w:t>Вопрос предполагал возможность не более трёх вариантов ответов, поэтому общее число ответов не сводится к 100%.</w:t>
      </w:r>
    </w:p>
    <w:p w14:paraId="5C045006" w14:textId="77777777" w:rsidR="00B02F6A" w:rsidRPr="00C04BE2" w:rsidRDefault="00B02F6A" w:rsidP="00245707">
      <w:pPr>
        <w:ind w:firstLine="709"/>
        <w:jc w:val="both"/>
        <w:rPr>
          <w:rFonts w:ascii="Garamond" w:eastAsiaTheme="minorHAnsi" w:hAnsi="Garamond"/>
          <w:sz w:val="28"/>
          <w:szCs w:val="28"/>
          <w:lang w:eastAsia="en-US"/>
        </w:rPr>
      </w:pPr>
    </w:p>
    <w:p w14:paraId="5A298413" w14:textId="77777777" w:rsidR="002B4C4A" w:rsidRPr="00C04BE2" w:rsidRDefault="002B4C4A" w:rsidP="00245707">
      <w:pPr>
        <w:pStyle w:val="1"/>
        <w:rPr>
          <w:rFonts w:ascii="Garamond" w:hAnsi="Garamond"/>
        </w:rPr>
      </w:pPr>
      <w:bookmarkStart w:id="16" w:name="_Toc474765188"/>
      <w:bookmarkStart w:id="17" w:name="_Toc52745685"/>
      <w:r w:rsidRPr="00C04BE2">
        <w:rPr>
          <w:rFonts w:ascii="Garamond" w:hAnsi="Garamond"/>
        </w:rPr>
        <w:t>Контроль и надзор</w:t>
      </w:r>
      <w:bookmarkEnd w:id="16"/>
      <w:bookmarkEnd w:id="17"/>
    </w:p>
    <w:p w14:paraId="05BCC29E" w14:textId="77777777" w:rsidR="002B4C4A" w:rsidRPr="00C04BE2" w:rsidRDefault="002B4C4A" w:rsidP="00473E9A">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 xml:space="preserve">Чрезмерное контрольно-надзорное давление из года в год остаётся одной из ключевых проблем для российского бизнеса. </w:t>
      </w:r>
    </w:p>
    <w:p w14:paraId="3582E896" w14:textId="77777777" w:rsidR="002B4C4A" w:rsidRPr="00C04BE2" w:rsidRDefault="002B4C4A" w:rsidP="00245707">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Проверки со стороны контрольно-надзорных органов проходили почти во всех компаниях, принявших участие в опросе. Только 13% организаций ответили, что в 2019 году к ним не заходили проверяющие органы.</w:t>
      </w:r>
      <w:r w:rsidR="00F51770" w:rsidRPr="00C04BE2">
        <w:rPr>
          <w:rFonts w:ascii="Garamond" w:eastAsiaTheme="minorHAnsi" w:hAnsi="Garamond"/>
          <w:sz w:val="28"/>
          <w:szCs w:val="28"/>
          <w:lang w:eastAsia="en-US"/>
        </w:rPr>
        <w:t xml:space="preserve"> </w:t>
      </w:r>
      <w:r w:rsidRPr="00C04BE2">
        <w:rPr>
          <w:rFonts w:ascii="Garamond" w:eastAsiaTheme="minorHAnsi" w:hAnsi="Garamond"/>
          <w:sz w:val="28"/>
          <w:szCs w:val="28"/>
          <w:lang w:eastAsia="en-US"/>
        </w:rPr>
        <w:t>47,7% респондентов указали, что в их компаниях проходили и плановые, и внеплановые проверки. В трети организаций были только плановые проверки. Минимальную долю набрал вариант «в компании проходили только внеплановые проверки» – 5,8%.</w:t>
      </w:r>
    </w:p>
    <w:p w14:paraId="769F78BD" w14:textId="77777777" w:rsidR="00D8550C" w:rsidRPr="00C04BE2" w:rsidRDefault="00D8550C" w:rsidP="00D8550C">
      <w:pPr>
        <w:jc w:val="center"/>
        <w:rPr>
          <w:rFonts w:ascii="Garamond" w:hAnsi="Garamond"/>
        </w:rPr>
      </w:pPr>
      <w:r w:rsidRPr="00C04BE2">
        <w:rPr>
          <w:rFonts w:ascii="Garamond" w:eastAsiaTheme="minorHAnsi" w:hAnsi="Garamond"/>
          <w:b/>
          <w:bCs/>
          <w:sz w:val="28"/>
          <w:szCs w:val="28"/>
          <w:lang w:eastAsia="en-US"/>
        </w:rPr>
        <w:t>Доля компаний, в которых проходили проверки, %</w:t>
      </w:r>
      <w:r w:rsidRPr="00C04BE2">
        <w:rPr>
          <w:rFonts w:ascii="Garamond" w:hAnsi="Garamond"/>
          <w:noProof/>
        </w:rPr>
        <w:drawing>
          <wp:inline distT="0" distB="0" distL="0" distR="0" wp14:anchorId="20DFE369" wp14:editId="482406EA">
            <wp:extent cx="2816087" cy="2464904"/>
            <wp:effectExtent l="0" t="0" r="22860" b="12065"/>
            <wp:docPr id="16"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C04BE2">
        <w:rPr>
          <w:rFonts w:ascii="Garamond" w:eastAsiaTheme="minorHAnsi" w:hAnsi="Garamond"/>
          <w:b/>
          <w:noProof/>
          <w:sz w:val="28"/>
          <w:szCs w:val="28"/>
        </w:rPr>
        <w:drawing>
          <wp:inline distT="0" distB="0" distL="0" distR="0" wp14:anchorId="292A1BB2" wp14:editId="4F754997">
            <wp:extent cx="2849218" cy="2464904"/>
            <wp:effectExtent l="0" t="0" r="27940" b="12065"/>
            <wp:docPr id="1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EE7D714" w14:textId="77777777" w:rsidR="00D8550C" w:rsidRPr="00C04BE2" w:rsidRDefault="00D8550C" w:rsidP="00D8550C">
      <w:pPr>
        <w:jc w:val="both"/>
        <w:rPr>
          <w:rFonts w:ascii="Garamond" w:eastAsiaTheme="minorHAnsi" w:hAnsi="Garamond"/>
          <w:lang w:eastAsia="en-US"/>
        </w:rPr>
      </w:pPr>
      <w:r w:rsidRPr="00C04BE2">
        <w:rPr>
          <w:rFonts w:ascii="Garamond" w:eastAsiaTheme="minorHAnsi" w:hAnsi="Garamond"/>
          <w:i/>
          <w:lang w:eastAsia="en-US"/>
        </w:rPr>
        <w:lastRenderedPageBreak/>
        <w:t>Данные приведены без учёта доли «нет ответа».</w:t>
      </w:r>
    </w:p>
    <w:p w14:paraId="7F33142C" w14:textId="77777777" w:rsidR="00D8550C" w:rsidRPr="00C04BE2" w:rsidRDefault="00D8550C" w:rsidP="00245707">
      <w:pPr>
        <w:ind w:firstLine="709"/>
        <w:jc w:val="both"/>
        <w:rPr>
          <w:rFonts w:ascii="Garamond" w:eastAsiaTheme="minorHAnsi" w:hAnsi="Garamond"/>
          <w:sz w:val="28"/>
          <w:szCs w:val="28"/>
          <w:lang w:eastAsia="en-US"/>
        </w:rPr>
      </w:pPr>
    </w:p>
    <w:p w14:paraId="3EE9C32F" w14:textId="77777777" w:rsidR="002B4C4A" w:rsidRPr="00C04BE2" w:rsidRDefault="002B4C4A" w:rsidP="00245707">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В среднем проверки от момента начала до оформления акта занимают 32 дня. Медианное значение чуть ниже, оно составляет 20 дней.</w:t>
      </w:r>
    </w:p>
    <w:p w14:paraId="1AC96B0B" w14:textId="77777777" w:rsidR="005C71B9" w:rsidRPr="00C04BE2" w:rsidRDefault="005C71B9" w:rsidP="005C71B9">
      <w:pPr>
        <w:rPr>
          <w:rFonts w:ascii="Garamond" w:eastAsiaTheme="minorHAnsi" w:hAnsi="Garamond"/>
          <w:sz w:val="28"/>
          <w:szCs w:val="28"/>
          <w:lang w:eastAsia="en-US"/>
        </w:rPr>
      </w:pPr>
    </w:p>
    <w:p w14:paraId="3C1C510D" w14:textId="77777777" w:rsidR="002B4C4A" w:rsidRPr="00C04BE2" w:rsidRDefault="002B4C4A" w:rsidP="00245707">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 xml:space="preserve">В 2019 году в компаниях проводилось, в среднем, 16 проверок. Медианное значение составило 5 проверок. </w:t>
      </w:r>
    </w:p>
    <w:p w14:paraId="255E2136" w14:textId="77777777" w:rsidR="002B4C4A" w:rsidRPr="00C04BE2" w:rsidRDefault="002B4C4A" w:rsidP="00245707">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При исключении экстремальных значений (количество проверок &gt; 50) значимо отличаются результаты: в крупных организациях среднее число проверок достигает 10 проверок в год, в компаниях-субъектах МСП проходило в среднем 4 проверки.</w:t>
      </w:r>
    </w:p>
    <w:p w14:paraId="272CE504" w14:textId="77777777" w:rsidR="002B4C4A" w:rsidRPr="00C04BE2" w:rsidRDefault="002B4C4A" w:rsidP="00245707">
      <w:pPr>
        <w:ind w:firstLine="709"/>
        <w:jc w:val="both"/>
        <w:rPr>
          <w:rFonts w:ascii="Garamond" w:eastAsiaTheme="minorHAnsi" w:hAnsi="Garamond"/>
          <w:sz w:val="28"/>
          <w:szCs w:val="28"/>
          <w:lang w:eastAsia="en-US"/>
        </w:rPr>
      </w:pPr>
    </w:p>
    <w:p w14:paraId="005AA07A" w14:textId="77777777" w:rsidR="002B4C4A" w:rsidRPr="00C04BE2" w:rsidRDefault="002B4C4A" w:rsidP="00245707">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Отчётность компании направляли, согласно среднему значению, в 9 контрольно-надзорных органов (медиана равна 7).</w:t>
      </w:r>
    </w:p>
    <w:p w14:paraId="2FCB0984" w14:textId="77777777" w:rsidR="00177AD6" w:rsidRPr="00C04BE2" w:rsidRDefault="00177AD6" w:rsidP="00245707">
      <w:pPr>
        <w:ind w:firstLine="709"/>
        <w:jc w:val="both"/>
        <w:rPr>
          <w:rFonts w:ascii="Garamond" w:eastAsiaTheme="minorHAnsi" w:hAnsi="Garamond"/>
          <w:sz w:val="28"/>
          <w:szCs w:val="28"/>
          <w:lang w:eastAsia="en-US"/>
        </w:rPr>
      </w:pPr>
    </w:p>
    <w:p w14:paraId="1B38D257" w14:textId="77777777" w:rsidR="002B4C4A" w:rsidRPr="00C04BE2" w:rsidRDefault="002B4C4A" w:rsidP="00245707">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Главный недостаток в работе контрольно-надзорных органов при проведении проверок – требование избыточного, по сравнению с законом, числа документов. Более трети респондентов указали этот вариант.</w:t>
      </w:r>
    </w:p>
    <w:p w14:paraId="6DEA1D1C" w14:textId="77777777" w:rsidR="002B4C4A" w:rsidRPr="00C04BE2" w:rsidRDefault="002B4C4A" w:rsidP="00245707">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Вторым по популярности стал ответ – при проверках никаких проблем не возникает, набравший долю 28%.</w:t>
      </w:r>
      <w:r w:rsidR="00177AD6" w:rsidRPr="00C04BE2">
        <w:rPr>
          <w:rFonts w:ascii="Garamond" w:eastAsiaTheme="minorHAnsi" w:hAnsi="Garamond"/>
          <w:sz w:val="28"/>
          <w:szCs w:val="28"/>
          <w:lang w:eastAsia="en-US"/>
        </w:rPr>
        <w:t xml:space="preserve"> </w:t>
      </w:r>
      <w:r w:rsidRPr="00C04BE2">
        <w:rPr>
          <w:rFonts w:ascii="Garamond" w:eastAsiaTheme="minorHAnsi" w:hAnsi="Garamond"/>
          <w:sz w:val="28"/>
          <w:szCs w:val="28"/>
          <w:lang w:eastAsia="en-US"/>
        </w:rPr>
        <w:t>Четверть компаний считает, что представители проверяющих органов недостаточно компетентны.</w:t>
      </w:r>
      <w:r w:rsidR="00177AD6" w:rsidRPr="00C04BE2">
        <w:rPr>
          <w:rFonts w:ascii="Garamond" w:eastAsiaTheme="minorHAnsi" w:hAnsi="Garamond"/>
          <w:sz w:val="28"/>
          <w:szCs w:val="28"/>
          <w:lang w:eastAsia="en-US"/>
        </w:rPr>
        <w:t xml:space="preserve"> </w:t>
      </w:r>
      <w:r w:rsidRPr="00C04BE2">
        <w:rPr>
          <w:rFonts w:ascii="Garamond" w:eastAsiaTheme="minorHAnsi" w:hAnsi="Garamond"/>
          <w:sz w:val="28"/>
          <w:szCs w:val="28"/>
          <w:lang w:eastAsia="en-US"/>
        </w:rPr>
        <w:t>С нарушением правил проведения проверок столкнулись 12,7% организаций.</w:t>
      </w:r>
    </w:p>
    <w:p w14:paraId="496B9C47" w14:textId="77777777" w:rsidR="002B4C4A" w:rsidRPr="00C04BE2" w:rsidRDefault="002B4C4A" w:rsidP="00245707">
      <w:pPr>
        <w:ind w:firstLine="709"/>
        <w:jc w:val="both"/>
        <w:rPr>
          <w:rFonts w:ascii="Garamond" w:eastAsiaTheme="minorHAnsi" w:hAnsi="Garamond"/>
          <w:sz w:val="28"/>
          <w:szCs w:val="28"/>
          <w:lang w:eastAsia="en-US"/>
        </w:rPr>
      </w:pPr>
    </w:p>
    <w:p w14:paraId="6D3AE29F" w14:textId="77777777" w:rsidR="005C71B9" w:rsidRPr="00C04BE2" w:rsidRDefault="005C71B9" w:rsidP="005C71B9">
      <w:pPr>
        <w:jc w:val="center"/>
        <w:rPr>
          <w:rFonts w:ascii="Garamond" w:eastAsiaTheme="minorHAnsi" w:hAnsi="Garamond"/>
          <w:b/>
          <w:bCs/>
          <w:sz w:val="28"/>
          <w:szCs w:val="28"/>
          <w:lang w:eastAsia="en-US"/>
        </w:rPr>
      </w:pPr>
      <w:r w:rsidRPr="00C04BE2">
        <w:rPr>
          <w:rFonts w:ascii="Garamond" w:eastAsiaTheme="minorHAnsi" w:hAnsi="Garamond"/>
          <w:b/>
          <w:bCs/>
          <w:sz w:val="28"/>
          <w:szCs w:val="28"/>
          <w:lang w:eastAsia="en-US"/>
        </w:rPr>
        <w:t>Недостатки в работе контрольно-надзорных органов при проведении проверок в 2018 – 2019 годах, %</w:t>
      </w:r>
    </w:p>
    <w:p w14:paraId="0714E055" w14:textId="77777777" w:rsidR="005C71B9" w:rsidRPr="00C04BE2" w:rsidRDefault="005C71B9" w:rsidP="005C71B9">
      <w:pPr>
        <w:rPr>
          <w:rFonts w:ascii="Garamond" w:eastAsiaTheme="minorHAnsi" w:hAnsi="Garamond"/>
          <w:sz w:val="28"/>
          <w:szCs w:val="28"/>
          <w:lang w:eastAsia="en-US"/>
        </w:rPr>
      </w:pPr>
      <w:r w:rsidRPr="00C04BE2">
        <w:rPr>
          <w:rFonts w:ascii="Garamond" w:hAnsi="Garamond"/>
          <w:bCs/>
          <w:noProof/>
        </w:rPr>
        <w:drawing>
          <wp:inline distT="0" distB="0" distL="0" distR="0" wp14:anchorId="7EF14B4E" wp14:editId="09E2D94A">
            <wp:extent cx="5944511" cy="2988365"/>
            <wp:effectExtent l="0" t="0" r="18415" b="21590"/>
            <wp:docPr id="82"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6EEC604" w14:textId="77777777" w:rsidR="005C71B9" w:rsidRPr="00C04BE2" w:rsidRDefault="005C71B9" w:rsidP="005C71B9">
      <w:pPr>
        <w:jc w:val="both"/>
        <w:rPr>
          <w:rFonts w:ascii="Garamond" w:eastAsiaTheme="minorHAnsi" w:hAnsi="Garamond"/>
          <w:i/>
          <w:lang w:eastAsia="en-US"/>
        </w:rPr>
      </w:pPr>
      <w:r w:rsidRPr="00C04BE2">
        <w:rPr>
          <w:rFonts w:ascii="Garamond" w:eastAsiaTheme="minorHAnsi" w:hAnsi="Garamond"/>
          <w:i/>
          <w:lang w:eastAsia="en-US"/>
        </w:rPr>
        <w:t>Вопрос предполагал возможность множественного выбора ответов, поэтому общее число ответов не сводится к 100%.</w:t>
      </w:r>
    </w:p>
    <w:p w14:paraId="512F5694" w14:textId="77777777" w:rsidR="005C71B9" w:rsidRPr="00C04BE2" w:rsidRDefault="005C71B9" w:rsidP="005C71B9">
      <w:pPr>
        <w:ind w:firstLine="709"/>
        <w:jc w:val="both"/>
        <w:rPr>
          <w:rFonts w:ascii="Garamond" w:eastAsiaTheme="minorHAnsi" w:hAnsi="Garamond"/>
          <w:sz w:val="28"/>
          <w:szCs w:val="28"/>
          <w:lang w:eastAsia="en-US"/>
        </w:rPr>
      </w:pPr>
    </w:p>
    <w:p w14:paraId="20193E6A" w14:textId="77777777" w:rsidR="002B4C4A" w:rsidRPr="00C04BE2" w:rsidRDefault="002B4C4A" w:rsidP="00245707">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 xml:space="preserve">Административная нагрузка на компанию после введения проверочных листов не изменилась, по оценкам 43,7% респондентов. Пятая часть компаний </w:t>
      </w:r>
      <w:r w:rsidRPr="00C04BE2">
        <w:rPr>
          <w:rFonts w:ascii="Garamond" w:eastAsiaTheme="minorHAnsi" w:hAnsi="Garamond"/>
          <w:sz w:val="28"/>
          <w:szCs w:val="28"/>
          <w:lang w:eastAsia="en-US"/>
        </w:rPr>
        <w:lastRenderedPageBreak/>
        <w:t xml:space="preserve">ответила, что она выросла. О сокращении нагрузки заявили 5,6% предприятий. В 30,2% компаний плановых проверок с применением проверочных листов не было. </w:t>
      </w:r>
    </w:p>
    <w:p w14:paraId="037C2966" w14:textId="77777777" w:rsidR="002B4C4A" w:rsidRPr="00C04BE2" w:rsidRDefault="002B4C4A" w:rsidP="00245707">
      <w:pPr>
        <w:ind w:firstLine="709"/>
        <w:jc w:val="both"/>
        <w:rPr>
          <w:rFonts w:ascii="Garamond" w:eastAsiaTheme="minorHAnsi" w:hAnsi="Garamond"/>
          <w:sz w:val="28"/>
          <w:szCs w:val="28"/>
          <w:lang w:eastAsia="en-US"/>
        </w:rPr>
      </w:pPr>
    </w:p>
    <w:p w14:paraId="3D6DD097" w14:textId="12FD117A" w:rsidR="007E59AA" w:rsidRPr="00C04BE2" w:rsidRDefault="007E59AA" w:rsidP="00245707">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В 2020 году введенный мораторий на проведение проверок, продление действия разрешительных документов и лицензий снизили на компании избыточную административную нагрузку в период пандемии.</w:t>
      </w:r>
    </w:p>
    <w:p w14:paraId="4F312F4A" w14:textId="77777777" w:rsidR="007E59AA" w:rsidRPr="00C04BE2" w:rsidRDefault="007E59AA" w:rsidP="00245707">
      <w:pPr>
        <w:ind w:firstLine="709"/>
        <w:jc w:val="both"/>
        <w:rPr>
          <w:rFonts w:ascii="Garamond" w:eastAsiaTheme="minorHAnsi" w:hAnsi="Garamond"/>
          <w:sz w:val="28"/>
          <w:szCs w:val="28"/>
          <w:lang w:eastAsia="en-US"/>
        </w:rPr>
      </w:pPr>
    </w:p>
    <w:p w14:paraId="438BE42C" w14:textId="77777777" w:rsidR="00824609" w:rsidRPr="00C04BE2" w:rsidRDefault="00824609" w:rsidP="00245707">
      <w:pPr>
        <w:pStyle w:val="1"/>
        <w:rPr>
          <w:rFonts w:ascii="Garamond" w:hAnsi="Garamond"/>
        </w:rPr>
      </w:pPr>
      <w:bookmarkStart w:id="18" w:name="_Toc52745686"/>
      <w:r w:rsidRPr="00C04BE2">
        <w:rPr>
          <w:rFonts w:ascii="Garamond" w:hAnsi="Garamond"/>
        </w:rPr>
        <w:t>Социальная ориентированность бизнеса</w:t>
      </w:r>
      <w:bookmarkEnd w:id="5"/>
      <w:bookmarkEnd w:id="18"/>
      <w:r w:rsidRPr="00C04BE2">
        <w:rPr>
          <w:rFonts w:ascii="Garamond" w:hAnsi="Garamond"/>
        </w:rPr>
        <w:t xml:space="preserve"> </w:t>
      </w:r>
    </w:p>
    <w:p w14:paraId="68BD443F" w14:textId="77777777" w:rsidR="005B4512" w:rsidRPr="00C04BE2" w:rsidRDefault="005B4512" w:rsidP="00A9091F">
      <w:pPr>
        <w:ind w:firstLine="708"/>
        <w:jc w:val="both"/>
        <w:rPr>
          <w:rFonts w:ascii="Garamond" w:eastAsiaTheme="minorHAnsi" w:hAnsi="Garamond"/>
          <w:bCs/>
          <w:sz w:val="28"/>
          <w:szCs w:val="28"/>
          <w:lang w:eastAsia="en-US"/>
        </w:rPr>
      </w:pPr>
      <w:r w:rsidRPr="00C04BE2">
        <w:rPr>
          <w:rFonts w:ascii="Garamond" w:eastAsiaTheme="minorHAnsi" w:hAnsi="Garamond"/>
          <w:bCs/>
          <w:sz w:val="28"/>
          <w:szCs w:val="28"/>
          <w:lang w:eastAsia="en-US"/>
        </w:rPr>
        <w:t xml:space="preserve">Участники опроса разделились в своей оценке социальной ответственности бизнеса: 39,1% компаний выбрали вариант «средний», примерно столько же указали </w:t>
      </w:r>
      <w:r w:rsidR="007A5303" w:rsidRPr="00C04BE2">
        <w:rPr>
          <w:rFonts w:ascii="Garamond" w:eastAsiaTheme="minorHAnsi" w:hAnsi="Garamond"/>
          <w:bCs/>
          <w:sz w:val="28"/>
          <w:szCs w:val="28"/>
          <w:lang w:eastAsia="en-US"/>
        </w:rPr>
        <w:t>вариант «низкий»</w:t>
      </w:r>
      <w:r w:rsidRPr="00C04BE2">
        <w:rPr>
          <w:rFonts w:ascii="Garamond" w:eastAsiaTheme="minorHAnsi" w:hAnsi="Garamond"/>
          <w:bCs/>
          <w:sz w:val="28"/>
          <w:szCs w:val="28"/>
          <w:lang w:eastAsia="en-US"/>
        </w:rPr>
        <w:t>. Четверть респондентов считает, что уровень социальной ответственности высокий.</w:t>
      </w:r>
      <w:r w:rsidR="002D16BB" w:rsidRPr="00C04BE2">
        <w:rPr>
          <w:rFonts w:ascii="Garamond" w:eastAsiaTheme="minorHAnsi" w:hAnsi="Garamond"/>
          <w:bCs/>
          <w:sz w:val="28"/>
          <w:szCs w:val="28"/>
          <w:lang w:eastAsia="en-US"/>
        </w:rPr>
        <w:t xml:space="preserve"> </w:t>
      </w:r>
    </w:p>
    <w:p w14:paraId="3FF0240A" w14:textId="77777777" w:rsidR="0038489D" w:rsidRPr="00C04BE2" w:rsidRDefault="0038489D" w:rsidP="00245707">
      <w:pPr>
        <w:jc w:val="both"/>
        <w:rPr>
          <w:rFonts w:ascii="Garamond" w:eastAsiaTheme="minorHAnsi" w:hAnsi="Garamond"/>
          <w:bCs/>
          <w:sz w:val="28"/>
          <w:szCs w:val="28"/>
          <w:lang w:eastAsia="en-US"/>
        </w:rPr>
      </w:pPr>
    </w:p>
    <w:p w14:paraId="7AA376D6" w14:textId="77777777" w:rsidR="00473E9A" w:rsidRPr="00C04BE2" w:rsidRDefault="00473E9A" w:rsidP="00245707">
      <w:pPr>
        <w:jc w:val="both"/>
        <w:rPr>
          <w:rFonts w:ascii="Garamond" w:eastAsiaTheme="minorHAnsi" w:hAnsi="Garamond"/>
          <w:bCs/>
          <w:sz w:val="28"/>
          <w:szCs w:val="28"/>
          <w:lang w:eastAsia="en-US"/>
        </w:rPr>
      </w:pPr>
    </w:p>
    <w:p w14:paraId="6C12DC76" w14:textId="77777777" w:rsidR="005C71B9" w:rsidRPr="00C04BE2" w:rsidRDefault="005C71B9" w:rsidP="00E91578">
      <w:pPr>
        <w:spacing w:line="360" w:lineRule="auto"/>
        <w:jc w:val="center"/>
        <w:rPr>
          <w:rFonts w:ascii="Garamond" w:eastAsiaTheme="minorHAnsi" w:hAnsi="Garamond"/>
          <w:sz w:val="28"/>
          <w:szCs w:val="28"/>
          <w:lang w:eastAsia="en-US"/>
        </w:rPr>
      </w:pPr>
      <w:r w:rsidRPr="00C04BE2">
        <w:rPr>
          <w:rFonts w:ascii="Garamond" w:eastAsiaTheme="minorHAnsi" w:hAnsi="Garamond"/>
          <w:b/>
          <w:bCs/>
          <w:sz w:val="28"/>
          <w:szCs w:val="28"/>
          <w:lang w:eastAsia="en-US"/>
        </w:rPr>
        <w:t>Оценка уровня социальной ответственности бизнеса, %</w:t>
      </w:r>
      <w:r w:rsidRPr="00C04BE2">
        <w:rPr>
          <w:rFonts w:ascii="Garamond" w:hAnsi="Garamond"/>
          <w:bCs/>
          <w:noProof/>
        </w:rPr>
        <w:drawing>
          <wp:inline distT="0" distB="0" distL="0" distR="0" wp14:anchorId="069B1DBD" wp14:editId="07D095CF">
            <wp:extent cx="5944511" cy="1399264"/>
            <wp:effectExtent l="0" t="0" r="18415" b="10795"/>
            <wp:docPr id="19"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AA08A4A" w14:textId="77777777" w:rsidR="005C71B9" w:rsidRPr="00C04BE2" w:rsidRDefault="005C71B9" w:rsidP="005C71B9">
      <w:pPr>
        <w:jc w:val="both"/>
        <w:rPr>
          <w:rFonts w:ascii="Garamond" w:hAnsi="Garamond"/>
        </w:rPr>
      </w:pPr>
    </w:p>
    <w:p w14:paraId="6BE5F041" w14:textId="77777777" w:rsidR="005612A1" w:rsidRPr="00C04BE2" w:rsidRDefault="00CD59D5" w:rsidP="008D7EA7">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Какие факторы и меры поддержки предпринимателей со стороны государства могли бы повысить мотивацию вести бизнес на основе принципов социальной ответственности?</w:t>
      </w:r>
      <w:r w:rsidR="008D7EA7" w:rsidRPr="00C04BE2">
        <w:rPr>
          <w:rFonts w:ascii="Garamond" w:eastAsiaTheme="minorHAnsi" w:hAnsi="Garamond"/>
          <w:sz w:val="28"/>
          <w:szCs w:val="28"/>
          <w:lang w:eastAsia="en-US"/>
        </w:rPr>
        <w:t xml:space="preserve"> </w:t>
      </w:r>
      <w:r w:rsidRPr="00C04BE2">
        <w:rPr>
          <w:rFonts w:ascii="Garamond" w:eastAsiaTheme="minorHAnsi" w:hAnsi="Garamond"/>
          <w:sz w:val="28"/>
          <w:szCs w:val="28"/>
          <w:lang w:eastAsia="en-US"/>
        </w:rPr>
        <w:t>С большим отрывом лидирует ответ «налоговое стимулирование ответственных компаний», его отметили три четверти респондентов.</w:t>
      </w:r>
      <w:r w:rsidR="001D1F90" w:rsidRPr="00C04BE2">
        <w:rPr>
          <w:rFonts w:ascii="Garamond" w:eastAsiaTheme="minorHAnsi" w:hAnsi="Garamond"/>
          <w:sz w:val="28"/>
          <w:szCs w:val="28"/>
          <w:lang w:eastAsia="en-US"/>
        </w:rPr>
        <w:t xml:space="preserve"> </w:t>
      </w:r>
      <w:r w:rsidR="005612A1" w:rsidRPr="00C04BE2">
        <w:rPr>
          <w:rFonts w:ascii="Garamond" w:eastAsiaTheme="minorHAnsi" w:hAnsi="Garamond"/>
          <w:sz w:val="28"/>
          <w:szCs w:val="28"/>
          <w:lang w:eastAsia="en-US"/>
        </w:rPr>
        <w:t>57,8% участников опроса убеждены, что ключ в преодолении избыточного регулирования</w:t>
      </w:r>
      <w:r w:rsidR="005F25C2" w:rsidRPr="00C04BE2">
        <w:rPr>
          <w:rFonts w:ascii="Garamond" w:eastAsiaTheme="minorHAnsi" w:hAnsi="Garamond"/>
          <w:sz w:val="28"/>
          <w:szCs w:val="28"/>
          <w:lang w:eastAsia="en-US"/>
        </w:rPr>
        <w:t xml:space="preserve"> и </w:t>
      </w:r>
      <w:r w:rsidR="005612A1" w:rsidRPr="00C04BE2">
        <w:rPr>
          <w:rFonts w:ascii="Garamond" w:eastAsiaTheme="minorHAnsi" w:hAnsi="Garamond"/>
          <w:sz w:val="28"/>
          <w:szCs w:val="28"/>
          <w:lang w:eastAsia="en-US"/>
        </w:rPr>
        <w:t>снижении административное давления. Половина комп</w:t>
      </w:r>
      <w:r w:rsidR="008F01D0" w:rsidRPr="00C04BE2">
        <w:rPr>
          <w:rFonts w:ascii="Garamond" w:eastAsiaTheme="minorHAnsi" w:hAnsi="Garamond"/>
          <w:sz w:val="28"/>
          <w:szCs w:val="28"/>
          <w:lang w:eastAsia="en-US"/>
        </w:rPr>
        <w:t>а</w:t>
      </w:r>
      <w:r w:rsidR="005612A1" w:rsidRPr="00C04BE2">
        <w:rPr>
          <w:rFonts w:ascii="Garamond" w:eastAsiaTheme="minorHAnsi" w:hAnsi="Garamond"/>
          <w:sz w:val="28"/>
          <w:szCs w:val="28"/>
          <w:lang w:eastAsia="en-US"/>
        </w:rPr>
        <w:t xml:space="preserve">ний </w:t>
      </w:r>
      <w:r w:rsidR="008F01D0" w:rsidRPr="00C04BE2">
        <w:rPr>
          <w:rFonts w:ascii="Garamond" w:eastAsiaTheme="minorHAnsi" w:hAnsi="Garamond"/>
          <w:sz w:val="28"/>
          <w:szCs w:val="28"/>
          <w:lang w:eastAsia="en-US"/>
        </w:rPr>
        <w:t>связывает повышение уровня социальной ответственности с предоставлением предпринимателям преимущества в доступе к государственным заказам, к более выгодным условиям кредитования.</w:t>
      </w:r>
    </w:p>
    <w:p w14:paraId="6F3ED05E" w14:textId="4180AB88" w:rsidR="008F01D0" w:rsidRDefault="008F01D0" w:rsidP="00245707">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Два варианта – «повышение прозрачности процессов принятия решений и подотчётность госструктур» и «участие бюджетных средств в финансировании (инвестировании) социальных объектов» – набрали одинаковую долю</w:t>
      </w:r>
      <w:r w:rsidR="00CD59D5" w:rsidRPr="00C04BE2">
        <w:rPr>
          <w:rFonts w:ascii="Garamond" w:eastAsiaTheme="minorHAnsi" w:hAnsi="Garamond"/>
          <w:sz w:val="28"/>
          <w:szCs w:val="28"/>
          <w:lang w:eastAsia="en-US"/>
        </w:rPr>
        <w:t xml:space="preserve"> – около</w:t>
      </w:r>
      <w:r w:rsidRPr="00C04BE2">
        <w:rPr>
          <w:rFonts w:ascii="Garamond" w:eastAsiaTheme="minorHAnsi" w:hAnsi="Garamond"/>
          <w:sz w:val="28"/>
          <w:szCs w:val="28"/>
          <w:lang w:eastAsia="en-US"/>
        </w:rPr>
        <w:t xml:space="preserve"> 43%.</w:t>
      </w:r>
      <w:r w:rsidR="001D1F90" w:rsidRPr="00C04BE2">
        <w:rPr>
          <w:rFonts w:ascii="Garamond" w:eastAsiaTheme="minorHAnsi" w:hAnsi="Garamond"/>
          <w:sz w:val="28"/>
          <w:szCs w:val="28"/>
          <w:lang w:eastAsia="en-US"/>
        </w:rPr>
        <w:t xml:space="preserve"> </w:t>
      </w:r>
      <w:r w:rsidRPr="00C04BE2">
        <w:rPr>
          <w:rFonts w:ascii="Garamond" w:eastAsiaTheme="minorHAnsi" w:hAnsi="Garamond"/>
          <w:sz w:val="28"/>
          <w:szCs w:val="28"/>
          <w:lang w:eastAsia="en-US"/>
        </w:rPr>
        <w:t>П</w:t>
      </w:r>
      <w:r w:rsidR="007E5278" w:rsidRPr="00C04BE2">
        <w:rPr>
          <w:rFonts w:ascii="Garamond" w:eastAsiaTheme="minorHAnsi" w:hAnsi="Garamond"/>
          <w:sz w:val="28"/>
          <w:szCs w:val="28"/>
          <w:lang w:eastAsia="en-US"/>
        </w:rPr>
        <w:t>убличное признание результатов ответственной деловой п</w:t>
      </w:r>
      <w:r w:rsidRPr="00C04BE2">
        <w:rPr>
          <w:rFonts w:ascii="Garamond" w:eastAsiaTheme="minorHAnsi" w:hAnsi="Garamond"/>
          <w:sz w:val="28"/>
          <w:szCs w:val="28"/>
          <w:lang w:eastAsia="en-US"/>
        </w:rPr>
        <w:t>рактики в качестве меры назвали более трети респондентов.</w:t>
      </w:r>
      <w:r w:rsidR="001D1F90" w:rsidRPr="00C04BE2">
        <w:rPr>
          <w:rFonts w:ascii="Garamond" w:eastAsiaTheme="minorHAnsi" w:hAnsi="Garamond"/>
          <w:sz w:val="28"/>
          <w:szCs w:val="28"/>
          <w:lang w:eastAsia="en-US"/>
        </w:rPr>
        <w:t xml:space="preserve"> </w:t>
      </w:r>
      <w:r w:rsidRPr="00C04BE2">
        <w:rPr>
          <w:rFonts w:ascii="Garamond" w:eastAsiaTheme="minorHAnsi" w:hAnsi="Garamond"/>
          <w:sz w:val="28"/>
          <w:szCs w:val="28"/>
          <w:lang w:eastAsia="en-US"/>
        </w:rPr>
        <w:t>В 2019 году выросла значимость двух ответов – «преодоление практики избыточного регулирования» и «публичное признание результатов ответственной деловой практики».</w:t>
      </w:r>
    </w:p>
    <w:p w14:paraId="004154C8" w14:textId="655E1DFF" w:rsidR="0026085E" w:rsidRDefault="0026085E" w:rsidP="00245707">
      <w:pPr>
        <w:ind w:firstLine="709"/>
        <w:jc w:val="both"/>
        <w:rPr>
          <w:rFonts w:ascii="Garamond" w:eastAsiaTheme="minorHAnsi" w:hAnsi="Garamond"/>
          <w:sz w:val="28"/>
          <w:szCs w:val="28"/>
          <w:lang w:eastAsia="en-US"/>
        </w:rPr>
      </w:pPr>
    </w:p>
    <w:p w14:paraId="66B1B952" w14:textId="4B1F666A" w:rsidR="0026085E" w:rsidRDefault="0026085E" w:rsidP="00245707">
      <w:pPr>
        <w:ind w:firstLine="709"/>
        <w:jc w:val="both"/>
        <w:rPr>
          <w:rFonts w:ascii="Garamond" w:eastAsiaTheme="minorHAnsi" w:hAnsi="Garamond"/>
          <w:sz w:val="28"/>
          <w:szCs w:val="28"/>
          <w:lang w:eastAsia="en-US"/>
        </w:rPr>
      </w:pPr>
    </w:p>
    <w:p w14:paraId="0EA8D25E" w14:textId="7D9B1C2A" w:rsidR="0026085E" w:rsidRDefault="0026085E" w:rsidP="00245707">
      <w:pPr>
        <w:ind w:firstLine="709"/>
        <w:jc w:val="both"/>
        <w:rPr>
          <w:rFonts w:ascii="Garamond" w:eastAsiaTheme="minorHAnsi" w:hAnsi="Garamond"/>
          <w:sz w:val="28"/>
          <w:szCs w:val="28"/>
          <w:lang w:eastAsia="en-US"/>
        </w:rPr>
      </w:pPr>
    </w:p>
    <w:p w14:paraId="4294640E" w14:textId="77777777" w:rsidR="0026085E" w:rsidRPr="00C04BE2" w:rsidRDefault="0026085E" w:rsidP="00245707">
      <w:pPr>
        <w:ind w:firstLine="709"/>
        <w:jc w:val="both"/>
        <w:rPr>
          <w:rFonts w:ascii="Garamond" w:eastAsiaTheme="minorHAnsi" w:hAnsi="Garamond"/>
          <w:sz w:val="28"/>
          <w:szCs w:val="28"/>
          <w:lang w:eastAsia="en-US"/>
        </w:rPr>
      </w:pPr>
    </w:p>
    <w:p w14:paraId="57CC8F92" w14:textId="77777777" w:rsidR="005C71B9" w:rsidRPr="00C04BE2" w:rsidRDefault="005C71B9" w:rsidP="005C71B9">
      <w:pPr>
        <w:ind w:firstLine="709"/>
        <w:jc w:val="center"/>
        <w:rPr>
          <w:rFonts w:ascii="Garamond" w:eastAsiaTheme="minorHAnsi" w:hAnsi="Garamond"/>
          <w:b/>
          <w:bCs/>
          <w:sz w:val="28"/>
          <w:szCs w:val="28"/>
          <w:lang w:eastAsia="en-US"/>
        </w:rPr>
      </w:pPr>
      <w:r w:rsidRPr="00C04BE2">
        <w:rPr>
          <w:rFonts w:ascii="Garamond" w:eastAsiaTheme="minorHAnsi" w:hAnsi="Garamond"/>
          <w:b/>
          <w:bCs/>
          <w:sz w:val="28"/>
          <w:szCs w:val="28"/>
          <w:lang w:eastAsia="en-US"/>
        </w:rPr>
        <w:lastRenderedPageBreak/>
        <w:t>Факторы и меры продержки предпринимателей со стороны государства, которые будут стимулировать ведение бизнеса на основе принципов социальной ответственности, 2018 – 2019 годы, %</w:t>
      </w:r>
    </w:p>
    <w:p w14:paraId="5DACC3C1" w14:textId="77777777" w:rsidR="005C71B9" w:rsidRPr="00C04BE2" w:rsidRDefault="005C71B9" w:rsidP="005C71B9">
      <w:pPr>
        <w:rPr>
          <w:rFonts w:ascii="Garamond" w:eastAsiaTheme="minorHAnsi" w:hAnsi="Garamond"/>
          <w:sz w:val="28"/>
          <w:szCs w:val="28"/>
          <w:lang w:eastAsia="en-US"/>
        </w:rPr>
      </w:pPr>
      <w:r w:rsidRPr="00C04BE2">
        <w:rPr>
          <w:rFonts w:ascii="Garamond" w:hAnsi="Garamond"/>
          <w:bCs/>
          <w:noProof/>
        </w:rPr>
        <w:drawing>
          <wp:inline distT="0" distB="0" distL="0" distR="0" wp14:anchorId="680FD7E0" wp14:editId="42D996A0">
            <wp:extent cx="5944511" cy="3187148"/>
            <wp:effectExtent l="0" t="0" r="18415" b="13335"/>
            <wp:docPr id="20"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47DEBCA6" w14:textId="77777777" w:rsidR="005C71B9" w:rsidRPr="00C04BE2" w:rsidRDefault="005C71B9" w:rsidP="005C71B9">
      <w:pPr>
        <w:jc w:val="both"/>
        <w:rPr>
          <w:rFonts w:ascii="Garamond" w:eastAsiaTheme="minorHAnsi" w:hAnsi="Garamond"/>
          <w:i/>
          <w:lang w:eastAsia="en-US"/>
        </w:rPr>
      </w:pPr>
      <w:r w:rsidRPr="00C04BE2">
        <w:rPr>
          <w:rFonts w:ascii="Garamond" w:eastAsiaTheme="minorHAnsi" w:hAnsi="Garamond"/>
          <w:i/>
          <w:lang w:eastAsia="en-US"/>
        </w:rPr>
        <w:t>Вопрос предполагал возможность множественного выбора ответов, поэтому общее число ответов не сводится к 100%.</w:t>
      </w:r>
    </w:p>
    <w:p w14:paraId="46F7F79C" w14:textId="77777777" w:rsidR="007E5278" w:rsidRPr="00C04BE2" w:rsidRDefault="00DF7FD0" w:rsidP="00715137">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 xml:space="preserve">Региональным властям и/или муниципалитетам в социальном развитии помогали в 2019 году 77,3% компаний. </w:t>
      </w:r>
    </w:p>
    <w:p w14:paraId="31E2E434" w14:textId="77777777" w:rsidR="00615DE3" w:rsidRPr="00C04BE2" w:rsidRDefault="00607E10" w:rsidP="00245707">
      <w:pPr>
        <w:ind w:firstLine="708"/>
        <w:jc w:val="both"/>
        <w:rPr>
          <w:rFonts w:ascii="Garamond" w:hAnsi="Garamond"/>
          <w:sz w:val="28"/>
          <w:szCs w:val="28"/>
        </w:rPr>
      </w:pPr>
      <w:r w:rsidRPr="00C04BE2">
        <w:rPr>
          <w:rFonts w:ascii="Garamond" w:hAnsi="Garamond"/>
          <w:sz w:val="28"/>
          <w:szCs w:val="28"/>
        </w:rPr>
        <w:t>Большинство не ограничивалось одним или двумя видами помощи. Только 13,5% компаний указали до двух вариант</w:t>
      </w:r>
      <w:r w:rsidR="00552D2E" w:rsidRPr="00C04BE2">
        <w:rPr>
          <w:rFonts w:ascii="Garamond" w:hAnsi="Garamond"/>
          <w:sz w:val="28"/>
          <w:szCs w:val="28"/>
        </w:rPr>
        <w:t>ов</w:t>
      </w:r>
      <w:r w:rsidRPr="00C04BE2">
        <w:rPr>
          <w:rFonts w:ascii="Garamond" w:hAnsi="Garamond"/>
          <w:sz w:val="28"/>
          <w:szCs w:val="28"/>
        </w:rPr>
        <w:t xml:space="preserve"> из </w:t>
      </w:r>
      <w:r w:rsidR="00615DE3" w:rsidRPr="00C04BE2">
        <w:rPr>
          <w:rFonts w:ascii="Garamond" w:hAnsi="Garamond"/>
          <w:sz w:val="28"/>
          <w:szCs w:val="28"/>
        </w:rPr>
        <w:t xml:space="preserve">предложенного </w:t>
      </w:r>
      <w:r w:rsidRPr="00C04BE2">
        <w:rPr>
          <w:rFonts w:ascii="Garamond" w:hAnsi="Garamond"/>
          <w:sz w:val="28"/>
          <w:szCs w:val="28"/>
        </w:rPr>
        <w:t>списка, в 2018 году</w:t>
      </w:r>
      <w:r w:rsidR="00CD3C02" w:rsidRPr="00C04BE2">
        <w:rPr>
          <w:rFonts w:ascii="Garamond" w:hAnsi="Garamond"/>
          <w:sz w:val="28"/>
          <w:szCs w:val="28"/>
        </w:rPr>
        <w:t xml:space="preserve"> </w:t>
      </w:r>
      <w:r w:rsidRPr="00C04BE2">
        <w:rPr>
          <w:rFonts w:ascii="Garamond" w:hAnsi="Garamond"/>
          <w:sz w:val="28"/>
          <w:szCs w:val="28"/>
        </w:rPr>
        <w:t xml:space="preserve">их доля </w:t>
      </w:r>
      <w:r w:rsidR="00552D2E" w:rsidRPr="00C04BE2">
        <w:rPr>
          <w:rFonts w:ascii="Garamond" w:hAnsi="Garamond"/>
          <w:sz w:val="28"/>
          <w:szCs w:val="28"/>
        </w:rPr>
        <w:t>была</w:t>
      </w:r>
      <w:r w:rsidRPr="00C04BE2">
        <w:rPr>
          <w:rFonts w:ascii="Garamond" w:hAnsi="Garamond"/>
          <w:sz w:val="28"/>
          <w:szCs w:val="28"/>
        </w:rPr>
        <w:t xml:space="preserve"> 24%.</w:t>
      </w:r>
      <w:r w:rsidR="00615DE3" w:rsidRPr="00C04BE2">
        <w:rPr>
          <w:rFonts w:ascii="Garamond" w:hAnsi="Garamond"/>
          <w:sz w:val="28"/>
          <w:szCs w:val="28"/>
        </w:rPr>
        <w:t xml:space="preserve"> Более трети организаций отметили 3-5 видов поддержки, примерно столько же предприятий направляли средства по 6-9 направлениям. Около пятой части респондентов назвали более 10 вариантов из списка.</w:t>
      </w:r>
    </w:p>
    <w:p w14:paraId="68597222" w14:textId="77777777" w:rsidR="00615DE3" w:rsidRPr="00C04BE2" w:rsidRDefault="00615DE3" w:rsidP="00ED3C15">
      <w:pPr>
        <w:ind w:firstLine="708"/>
        <w:jc w:val="both"/>
        <w:rPr>
          <w:rFonts w:ascii="Garamond" w:hAnsi="Garamond"/>
          <w:sz w:val="28"/>
          <w:szCs w:val="28"/>
        </w:rPr>
      </w:pPr>
      <w:r w:rsidRPr="00C04BE2">
        <w:rPr>
          <w:rFonts w:ascii="Garamond" w:hAnsi="Garamond"/>
          <w:sz w:val="28"/>
          <w:szCs w:val="28"/>
        </w:rPr>
        <w:t xml:space="preserve">Очевидно, компании за отчётный период смогли расширить свои социальные программы: в 2019 году значимо выросла доля интервала «6-9 видов помощи» – </w:t>
      </w:r>
      <w:r w:rsidR="00552D2E" w:rsidRPr="00C04BE2">
        <w:rPr>
          <w:rFonts w:ascii="Garamond" w:hAnsi="Garamond"/>
          <w:sz w:val="28"/>
          <w:szCs w:val="28"/>
        </w:rPr>
        <w:t>с</w:t>
      </w:r>
      <w:r w:rsidRPr="00C04BE2">
        <w:rPr>
          <w:rFonts w:ascii="Garamond" w:hAnsi="Garamond"/>
          <w:sz w:val="28"/>
          <w:szCs w:val="28"/>
        </w:rPr>
        <w:t xml:space="preserve"> 21,1% до 32,4%</w:t>
      </w:r>
      <w:r w:rsidRPr="00C04BE2">
        <w:rPr>
          <w:rStyle w:val="a8"/>
          <w:rFonts w:ascii="Garamond" w:hAnsi="Garamond"/>
          <w:sz w:val="28"/>
          <w:szCs w:val="28"/>
        </w:rPr>
        <w:footnoteReference w:id="5"/>
      </w:r>
      <w:r w:rsidRPr="00C04BE2">
        <w:rPr>
          <w:rFonts w:ascii="Garamond" w:hAnsi="Garamond"/>
          <w:sz w:val="28"/>
          <w:szCs w:val="28"/>
        </w:rPr>
        <w:t>.</w:t>
      </w:r>
    </w:p>
    <w:p w14:paraId="4A7C7AFC" w14:textId="77777777" w:rsidR="00607E10" w:rsidRPr="00C04BE2" w:rsidRDefault="00607E10" w:rsidP="00245707">
      <w:pPr>
        <w:ind w:firstLine="708"/>
        <w:jc w:val="both"/>
        <w:rPr>
          <w:rFonts w:ascii="Garamond" w:hAnsi="Garamond"/>
          <w:sz w:val="28"/>
          <w:szCs w:val="28"/>
        </w:rPr>
      </w:pPr>
    </w:p>
    <w:p w14:paraId="24870052" w14:textId="77777777" w:rsidR="00CD3C02" w:rsidRPr="00C04BE2" w:rsidRDefault="00CD3C02" w:rsidP="00245707">
      <w:pPr>
        <w:ind w:firstLine="708"/>
        <w:jc w:val="both"/>
        <w:rPr>
          <w:rFonts w:ascii="Garamond" w:hAnsi="Garamond"/>
          <w:sz w:val="28"/>
          <w:szCs w:val="28"/>
        </w:rPr>
      </w:pPr>
      <w:r w:rsidRPr="00C04BE2">
        <w:rPr>
          <w:rFonts w:ascii="Garamond" w:hAnsi="Garamond"/>
          <w:sz w:val="28"/>
          <w:szCs w:val="28"/>
        </w:rPr>
        <w:t xml:space="preserve">Три четверти опрошенных оказывали помощь </w:t>
      </w:r>
      <w:r w:rsidRPr="00C04BE2">
        <w:rPr>
          <w:rFonts w:ascii="Garamond" w:eastAsiaTheme="minorHAnsi" w:hAnsi="Garamond"/>
          <w:sz w:val="28"/>
          <w:szCs w:val="28"/>
          <w:lang w:eastAsia="en-US"/>
        </w:rPr>
        <w:t>ветеранам, инвалидам, другим категориям социально незащищенных граждан, которые связаны с организацией. Столько же компаний помогали конкретным школам, больницам, детским домам, другим социальным учреждениям, не находящимся на балансе.</w:t>
      </w:r>
    </w:p>
    <w:p w14:paraId="6A241D68" w14:textId="77777777" w:rsidR="00CD3C02" w:rsidRPr="00C04BE2" w:rsidRDefault="00CD3C02" w:rsidP="00245707">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 xml:space="preserve">Около 60% компаний </w:t>
      </w:r>
      <w:r w:rsidR="00552D2E" w:rsidRPr="00C04BE2">
        <w:rPr>
          <w:rFonts w:ascii="Garamond" w:eastAsiaTheme="minorHAnsi" w:hAnsi="Garamond"/>
          <w:sz w:val="28"/>
          <w:szCs w:val="28"/>
          <w:lang w:eastAsia="en-US"/>
        </w:rPr>
        <w:t>осуществляли</w:t>
      </w:r>
      <w:r w:rsidRPr="00C04BE2">
        <w:rPr>
          <w:rFonts w:ascii="Garamond" w:eastAsiaTheme="minorHAnsi" w:hAnsi="Garamond"/>
          <w:sz w:val="28"/>
          <w:szCs w:val="28"/>
          <w:lang w:eastAsia="en-US"/>
        </w:rPr>
        <w:t xml:space="preserve"> социальные программы для работников и/или предоставляли помощь социально незащищённым гражданам, которые никак не связаны с компанией.</w:t>
      </w:r>
    </w:p>
    <w:p w14:paraId="068913E6" w14:textId="77777777" w:rsidR="00CD3C02" w:rsidRPr="00C04BE2" w:rsidRDefault="00CD3C02" w:rsidP="00245707">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Уборкой, озеленением муниципальной территории занимались 55,4% предприятий.</w:t>
      </w:r>
    </w:p>
    <w:p w14:paraId="53CD0E5C" w14:textId="51CF3D09" w:rsidR="008877BE" w:rsidRDefault="008877BE" w:rsidP="00245707">
      <w:pPr>
        <w:ind w:firstLine="708"/>
        <w:jc w:val="both"/>
        <w:rPr>
          <w:rFonts w:ascii="Garamond" w:eastAsiaTheme="minorHAnsi" w:hAnsi="Garamond"/>
          <w:sz w:val="28"/>
          <w:szCs w:val="28"/>
          <w:lang w:eastAsia="en-US"/>
        </w:rPr>
      </w:pPr>
    </w:p>
    <w:p w14:paraId="166554D8" w14:textId="77777777" w:rsidR="0026085E" w:rsidRPr="00C04BE2" w:rsidRDefault="0026085E" w:rsidP="00245707">
      <w:pPr>
        <w:ind w:firstLine="708"/>
        <w:jc w:val="both"/>
        <w:rPr>
          <w:rFonts w:ascii="Garamond" w:eastAsiaTheme="minorHAnsi" w:hAnsi="Garamond"/>
          <w:sz w:val="28"/>
          <w:szCs w:val="28"/>
          <w:lang w:eastAsia="en-US"/>
        </w:rPr>
      </w:pPr>
    </w:p>
    <w:p w14:paraId="7CACB4E9" w14:textId="77777777" w:rsidR="005C71B9" w:rsidRPr="00C04BE2" w:rsidRDefault="005C71B9" w:rsidP="005C71B9">
      <w:pPr>
        <w:jc w:val="center"/>
        <w:rPr>
          <w:rFonts w:ascii="Garamond" w:eastAsiaTheme="minorHAnsi" w:hAnsi="Garamond"/>
          <w:b/>
          <w:bCs/>
          <w:sz w:val="28"/>
          <w:szCs w:val="28"/>
          <w:lang w:eastAsia="en-US"/>
        </w:rPr>
      </w:pPr>
      <w:r w:rsidRPr="00C04BE2">
        <w:rPr>
          <w:rFonts w:ascii="Garamond" w:eastAsiaTheme="minorHAnsi" w:hAnsi="Garamond"/>
          <w:b/>
          <w:bCs/>
          <w:sz w:val="28"/>
          <w:szCs w:val="28"/>
          <w:lang w:eastAsia="en-US"/>
        </w:rPr>
        <w:lastRenderedPageBreak/>
        <w:t>Какого рода помощь региональным властям и/или муниципалитетам оказывала Ваша компания в социальном развитии региона (ТОП 5), %</w:t>
      </w:r>
    </w:p>
    <w:p w14:paraId="08A55884" w14:textId="77777777" w:rsidR="005C71B9" w:rsidRPr="00C04BE2" w:rsidRDefault="005C71B9" w:rsidP="005C71B9">
      <w:pPr>
        <w:spacing w:line="360" w:lineRule="auto"/>
        <w:rPr>
          <w:rFonts w:ascii="Garamond" w:eastAsiaTheme="minorHAnsi" w:hAnsi="Garamond"/>
          <w:sz w:val="28"/>
          <w:szCs w:val="28"/>
          <w:lang w:eastAsia="en-US"/>
        </w:rPr>
      </w:pPr>
      <w:r w:rsidRPr="00C04BE2">
        <w:rPr>
          <w:rFonts w:ascii="Garamond" w:hAnsi="Garamond"/>
          <w:bCs/>
          <w:noProof/>
        </w:rPr>
        <w:drawing>
          <wp:inline distT="0" distB="0" distL="0" distR="0" wp14:anchorId="30744155" wp14:editId="76FB1F1C">
            <wp:extent cx="5924633" cy="2545577"/>
            <wp:effectExtent l="0" t="0" r="19050" b="26670"/>
            <wp:docPr id="1"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A417BD2" w14:textId="77777777" w:rsidR="005C71B9" w:rsidRPr="00C04BE2" w:rsidRDefault="005C71B9" w:rsidP="005C71B9">
      <w:pPr>
        <w:jc w:val="both"/>
        <w:rPr>
          <w:rFonts w:ascii="Garamond" w:eastAsiaTheme="minorHAnsi" w:hAnsi="Garamond"/>
          <w:i/>
          <w:lang w:eastAsia="en-US"/>
        </w:rPr>
      </w:pPr>
      <w:r w:rsidRPr="00C04BE2">
        <w:rPr>
          <w:rFonts w:ascii="Garamond" w:eastAsiaTheme="minorHAnsi" w:hAnsi="Garamond"/>
          <w:i/>
          <w:lang w:eastAsia="en-US"/>
        </w:rPr>
        <w:t>Вопрос предполагал возможность множественного выбора ответов, поэтому общее число ответов не сводится к 100%.</w:t>
      </w:r>
    </w:p>
    <w:p w14:paraId="4D380626" w14:textId="77777777" w:rsidR="005C71B9" w:rsidRPr="00C04BE2" w:rsidRDefault="005C71B9" w:rsidP="005C71B9">
      <w:pPr>
        <w:ind w:firstLine="708"/>
        <w:jc w:val="both"/>
        <w:rPr>
          <w:rFonts w:ascii="Garamond" w:eastAsiaTheme="minorHAnsi" w:hAnsi="Garamond"/>
          <w:sz w:val="20"/>
          <w:szCs w:val="20"/>
          <w:lang w:eastAsia="en-US"/>
        </w:rPr>
      </w:pPr>
    </w:p>
    <w:p w14:paraId="7950B7FE" w14:textId="77777777" w:rsidR="00FE4CDA" w:rsidRPr="00C04BE2" w:rsidRDefault="00D3681B" w:rsidP="00245707">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Первые пять вариантов</w:t>
      </w:r>
      <w:r w:rsidR="004E0C0A" w:rsidRPr="00C04BE2">
        <w:rPr>
          <w:rFonts w:ascii="Garamond" w:eastAsiaTheme="minorHAnsi" w:hAnsi="Garamond"/>
          <w:sz w:val="28"/>
          <w:szCs w:val="28"/>
          <w:lang w:eastAsia="en-US"/>
        </w:rPr>
        <w:t xml:space="preserve"> набрали близкие значения, с высокой вероятностью участники опроса направляли средства </w:t>
      </w:r>
      <w:r w:rsidR="009745CE" w:rsidRPr="00C04BE2">
        <w:rPr>
          <w:rFonts w:ascii="Garamond" w:eastAsiaTheme="minorHAnsi" w:hAnsi="Garamond"/>
          <w:sz w:val="28"/>
          <w:szCs w:val="28"/>
          <w:lang w:eastAsia="en-US"/>
        </w:rPr>
        <w:t xml:space="preserve">сразу </w:t>
      </w:r>
      <w:r w:rsidR="004E0C0A" w:rsidRPr="00C04BE2">
        <w:rPr>
          <w:rFonts w:ascii="Garamond" w:eastAsiaTheme="minorHAnsi" w:hAnsi="Garamond"/>
          <w:sz w:val="28"/>
          <w:szCs w:val="28"/>
          <w:lang w:eastAsia="en-US"/>
        </w:rPr>
        <w:t>по всем указанным направлениям.</w:t>
      </w:r>
      <w:r w:rsidRPr="00C04BE2">
        <w:rPr>
          <w:rFonts w:ascii="Garamond" w:eastAsiaTheme="minorHAnsi" w:hAnsi="Garamond"/>
          <w:sz w:val="28"/>
          <w:szCs w:val="28"/>
          <w:lang w:eastAsia="en-US"/>
        </w:rPr>
        <w:t xml:space="preserve"> </w:t>
      </w:r>
    </w:p>
    <w:p w14:paraId="28AF8376" w14:textId="77777777" w:rsidR="00D3681B" w:rsidRPr="00C04BE2" w:rsidRDefault="00D3681B" w:rsidP="00245707">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 xml:space="preserve">За год значимо выросла доля ответов, возглавивших список, – компаний, помогавших социально незащищённым гражданам, которые связаны с компанией, и конкретным социальным учреждениям – школам, больницам, детским домам и др., стало больше. </w:t>
      </w:r>
    </w:p>
    <w:p w14:paraId="705306D4" w14:textId="77777777" w:rsidR="00183817" w:rsidRPr="00C04BE2" w:rsidRDefault="00183817" w:rsidP="00183817">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 xml:space="preserve">Спонсорскую помощь региональным или городским программам оказывали 39,6% компаний. </w:t>
      </w:r>
    </w:p>
    <w:p w14:paraId="3C39DF5D" w14:textId="77777777" w:rsidR="00183817" w:rsidRPr="00C04BE2" w:rsidRDefault="00183817" w:rsidP="00183817">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 xml:space="preserve">Широко распространены различные программы, ориентированные на детей и подростков. Около трети организаций указали варианты: </w:t>
      </w:r>
    </w:p>
    <w:p w14:paraId="133ABF71" w14:textId="77777777" w:rsidR="00183817" w:rsidRPr="00C04BE2" w:rsidRDefault="00183817" w:rsidP="00183817">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 поддержка образования и профессиональная подготовка детей и подростков (этот вариант был добавлен в список в 2019 году);</w:t>
      </w:r>
    </w:p>
    <w:p w14:paraId="4FCEFE8F" w14:textId="77777777" w:rsidR="00183817" w:rsidRPr="00C04BE2" w:rsidRDefault="00183817" w:rsidP="00183817">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 проведение детской оздоровительной кампании;</w:t>
      </w:r>
    </w:p>
    <w:p w14:paraId="530889BE" w14:textId="77777777" w:rsidR="00183817" w:rsidRPr="00C04BE2" w:rsidRDefault="00183817" w:rsidP="00183817">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 реализация обучающих программ для детей и подростков, программ по профориентации;</w:t>
      </w:r>
    </w:p>
    <w:p w14:paraId="0999170B" w14:textId="77777777" w:rsidR="00183817" w:rsidRPr="00C04BE2" w:rsidRDefault="00183817" w:rsidP="00183817">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 реализация молодёжных социальных корпоративных проектов.</w:t>
      </w:r>
    </w:p>
    <w:p w14:paraId="5115AC61" w14:textId="77777777" w:rsidR="00183817" w:rsidRPr="00C04BE2" w:rsidRDefault="00183817" w:rsidP="00183817">
      <w:pPr>
        <w:ind w:firstLine="708"/>
        <w:jc w:val="both"/>
        <w:rPr>
          <w:rFonts w:ascii="Garamond" w:eastAsiaTheme="minorHAnsi" w:hAnsi="Garamond"/>
          <w:sz w:val="20"/>
          <w:szCs w:val="20"/>
          <w:lang w:eastAsia="en-US"/>
        </w:rPr>
      </w:pPr>
    </w:p>
    <w:p w14:paraId="4782E599" w14:textId="77777777" w:rsidR="00183817" w:rsidRPr="00C04BE2" w:rsidRDefault="00183817" w:rsidP="00183817">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Четверть предприятий оказывала содействие региональным программам занятости безработных. Примерно столько же компаний финансировали мероприятия по улучшению экологической обстановки в регионе и/или вкладывали средства в социальные объекты и жильё, не находящихся на балансе компании.</w:t>
      </w:r>
      <w:r w:rsidR="00C475EF" w:rsidRPr="00C04BE2">
        <w:rPr>
          <w:rFonts w:ascii="Garamond" w:eastAsiaTheme="minorHAnsi" w:hAnsi="Garamond"/>
          <w:sz w:val="28"/>
          <w:szCs w:val="28"/>
          <w:lang w:eastAsia="en-US"/>
        </w:rPr>
        <w:t xml:space="preserve"> </w:t>
      </w:r>
      <w:r w:rsidRPr="00C04BE2">
        <w:rPr>
          <w:rFonts w:ascii="Garamond" w:eastAsiaTheme="minorHAnsi" w:hAnsi="Garamond"/>
          <w:sz w:val="28"/>
          <w:szCs w:val="28"/>
          <w:lang w:eastAsia="en-US"/>
        </w:rPr>
        <w:t>Пятая часть вела строительство жилья и других социальных объектов для нужд работников организаций.</w:t>
      </w:r>
      <w:r w:rsidR="00C475EF" w:rsidRPr="00C04BE2">
        <w:rPr>
          <w:rFonts w:ascii="Garamond" w:eastAsiaTheme="minorHAnsi" w:hAnsi="Garamond"/>
          <w:sz w:val="28"/>
          <w:szCs w:val="28"/>
          <w:lang w:eastAsia="en-US"/>
        </w:rPr>
        <w:t xml:space="preserve"> </w:t>
      </w:r>
      <w:r w:rsidRPr="00C04BE2">
        <w:rPr>
          <w:rFonts w:ascii="Garamond" w:eastAsiaTheme="minorHAnsi" w:hAnsi="Garamond"/>
          <w:sz w:val="28"/>
          <w:szCs w:val="28"/>
          <w:lang w:eastAsia="en-US"/>
        </w:rPr>
        <w:t>Реализацией совместных с региональными или муниципальными властями непрофильных проектов в социальной сфере занимались 17,7% компаний.</w:t>
      </w:r>
    </w:p>
    <w:p w14:paraId="03AEE8B1" w14:textId="77777777" w:rsidR="00183817" w:rsidRPr="00C04BE2" w:rsidRDefault="00183817" w:rsidP="00183817">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 xml:space="preserve">В 2019 году значимо увеличилась доля компаний, направлявших средства на обучающие программы и профориентацию детей и подростков, на строительство </w:t>
      </w:r>
      <w:r w:rsidRPr="00C04BE2">
        <w:rPr>
          <w:rFonts w:ascii="Garamond" w:eastAsiaTheme="minorHAnsi" w:hAnsi="Garamond"/>
          <w:sz w:val="28"/>
          <w:szCs w:val="28"/>
          <w:lang w:eastAsia="en-US"/>
        </w:rPr>
        <w:lastRenderedPageBreak/>
        <w:t>жилья и социальных объектов для работников компаний, а также финансировавших жильё и объекты, не находящиеся на балансе компаний.</w:t>
      </w:r>
    </w:p>
    <w:p w14:paraId="68217410" w14:textId="77777777" w:rsidR="00D3681B" w:rsidRPr="00C04BE2" w:rsidRDefault="00D3681B" w:rsidP="00245707">
      <w:pPr>
        <w:ind w:firstLine="708"/>
        <w:jc w:val="center"/>
        <w:rPr>
          <w:rFonts w:ascii="Garamond" w:eastAsiaTheme="minorHAnsi" w:hAnsi="Garamond"/>
          <w:b/>
          <w:bCs/>
          <w:sz w:val="20"/>
          <w:szCs w:val="20"/>
          <w:lang w:eastAsia="en-US"/>
        </w:rPr>
      </w:pPr>
    </w:p>
    <w:p w14:paraId="666E78A1" w14:textId="77777777" w:rsidR="005C71B9" w:rsidRPr="00C04BE2" w:rsidRDefault="005C71B9" w:rsidP="005C71B9">
      <w:pPr>
        <w:ind w:firstLine="708"/>
        <w:rPr>
          <w:rFonts w:ascii="Garamond" w:hAnsi="Garamond"/>
        </w:rPr>
      </w:pPr>
      <w:r w:rsidRPr="00C04BE2">
        <w:rPr>
          <w:rFonts w:ascii="Garamond" w:eastAsiaTheme="minorHAnsi" w:hAnsi="Garamond"/>
          <w:b/>
          <w:bCs/>
          <w:sz w:val="28"/>
          <w:szCs w:val="28"/>
          <w:lang w:eastAsia="en-US"/>
        </w:rPr>
        <w:t>Какого рода помощь региональным властям и/или муниципалитетам оказывала Ваша компания в социальном развитии региона (другие), %</w:t>
      </w:r>
      <w:r w:rsidRPr="00C04BE2">
        <w:rPr>
          <w:rFonts w:ascii="Garamond" w:hAnsi="Garamond"/>
          <w:bCs/>
          <w:noProof/>
        </w:rPr>
        <w:drawing>
          <wp:inline distT="0" distB="0" distL="0" distR="0" wp14:anchorId="1AE56F15" wp14:editId="6EE3407C">
            <wp:extent cx="5944511" cy="6155634"/>
            <wp:effectExtent l="0" t="0" r="18415" b="17145"/>
            <wp:docPr id="3"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716AB21" w14:textId="77777777" w:rsidR="005C71B9" w:rsidRPr="00C04BE2" w:rsidRDefault="005C71B9" w:rsidP="005C71B9">
      <w:pPr>
        <w:jc w:val="both"/>
        <w:rPr>
          <w:rFonts w:ascii="Garamond" w:eastAsiaTheme="minorHAnsi" w:hAnsi="Garamond"/>
          <w:i/>
          <w:lang w:eastAsia="en-US"/>
        </w:rPr>
      </w:pPr>
      <w:r w:rsidRPr="00C04BE2">
        <w:rPr>
          <w:rFonts w:ascii="Garamond" w:eastAsiaTheme="minorHAnsi" w:hAnsi="Garamond"/>
          <w:i/>
          <w:lang w:eastAsia="en-US"/>
        </w:rPr>
        <w:t>Вопрос предполагал возможность множественного выбора ответов, поэтому общее число ответов не сводится к 100%.</w:t>
      </w:r>
    </w:p>
    <w:p w14:paraId="7BAFE761" w14:textId="77777777" w:rsidR="00FE4CDA" w:rsidRPr="00C04BE2" w:rsidRDefault="00FE4CDA" w:rsidP="00245707">
      <w:pPr>
        <w:ind w:firstLine="708"/>
        <w:jc w:val="both"/>
        <w:rPr>
          <w:rFonts w:ascii="Garamond" w:eastAsiaTheme="minorHAnsi" w:hAnsi="Garamond"/>
          <w:sz w:val="28"/>
          <w:szCs w:val="28"/>
          <w:lang w:eastAsia="en-US"/>
        </w:rPr>
      </w:pPr>
    </w:p>
    <w:p w14:paraId="573A2016" w14:textId="274FB04D" w:rsidR="00C437D2" w:rsidRPr="00C04BE2" w:rsidRDefault="007E59AA" w:rsidP="003138DA">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В 2020 году практика реализации социальных программ оказалась крайне востребованной в условиях распространения новой коронавирусной инфекции. По результатам опроса компании-члены РСПП к началу</w:t>
      </w:r>
      <w:r w:rsidR="006E7C6B" w:rsidRPr="00C04BE2">
        <w:rPr>
          <w:rFonts w:ascii="Garamond" w:eastAsiaTheme="minorHAnsi" w:hAnsi="Garamond"/>
          <w:sz w:val="28"/>
          <w:szCs w:val="28"/>
          <w:lang w:eastAsia="en-US"/>
        </w:rPr>
        <w:t xml:space="preserve"> июля их расходы, связанные с предупреждением распространения, диагностикой и лечением новой коронавирусной инфекции COVID-19, составили </w:t>
      </w:r>
      <w:r w:rsidRPr="00C04BE2">
        <w:rPr>
          <w:rFonts w:ascii="Garamond" w:eastAsiaTheme="minorHAnsi" w:hAnsi="Garamond"/>
          <w:sz w:val="28"/>
          <w:szCs w:val="28"/>
          <w:lang w:eastAsia="en-US"/>
        </w:rPr>
        <w:t xml:space="preserve">свыше 17 млрд. рублей, в том числе более 3 млрд. рублей, которые в соответствии с положениями действующего </w:t>
      </w:r>
      <w:r w:rsidRPr="00C04BE2">
        <w:rPr>
          <w:rFonts w:ascii="Garamond" w:eastAsiaTheme="minorHAnsi" w:hAnsi="Garamond"/>
          <w:sz w:val="28"/>
          <w:szCs w:val="28"/>
          <w:lang w:eastAsia="en-US"/>
        </w:rPr>
        <w:lastRenderedPageBreak/>
        <w:t>законодательства невозможно учесть в составе расходов по налогу на прибыль, что составляет почти 1/5 от общей суммы расходов, связанных с COVID-19.</w:t>
      </w:r>
    </w:p>
    <w:p w14:paraId="13DC4881" w14:textId="77777777" w:rsidR="003138DA" w:rsidRPr="00C04BE2" w:rsidRDefault="003138DA" w:rsidP="003138DA">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Почти все компании (95,3%) обеспечивали работников средствами защиты (масками, перчатками, санитайзерами и антисептиками). 83,3% сохранили все выплаты, предусмотренные в организации. 79,8% компаний приобретали технику, оборудование для обеспечения безопасности сотрудников на рабочих местах.</w:t>
      </w:r>
    </w:p>
    <w:p w14:paraId="04D644CC" w14:textId="77777777" w:rsidR="003138DA" w:rsidRPr="00C04BE2" w:rsidRDefault="003138DA" w:rsidP="003138DA">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При этом 65,1% всех респондентов отметили сразу все перечисленные варианты.</w:t>
      </w:r>
    </w:p>
    <w:p w14:paraId="2B1A07F9" w14:textId="77777777" w:rsidR="003138DA" w:rsidRPr="00C04BE2" w:rsidRDefault="003138DA" w:rsidP="003138DA">
      <w:pPr>
        <w:ind w:firstLine="708"/>
        <w:jc w:val="both"/>
        <w:rPr>
          <w:rFonts w:ascii="Garamond" w:eastAsiaTheme="minorHAnsi" w:hAnsi="Garamond"/>
          <w:sz w:val="28"/>
          <w:szCs w:val="28"/>
          <w:lang w:eastAsia="en-US"/>
        </w:rPr>
      </w:pPr>
    </w:p>
    <w:p w14:paraId="20B0A856" w14:textId="77777777" w:rsidR="003138DA" w:rsidRPr="00C04BE2" w:rsidRDefault="003138DA" w:rsidP="003138DA">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 xml:space="preserve">29,2% компаний приобретали технику для дистанционной работы сотрудников. </w:t>
      </w:r>
    </w:p>
    <w:p w14:paraId="3436ACA8" w14:textId="77777777" w:rsidR="003138DA" w:rsidRPr="00C04BE2" w:rsidRDefault="003138DA" w:rsidP="003138DA">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26,1% оплачивали доставку сотрудников до места работы.</w:t>
      </w:r>
    </w:p>
    <w:p w14:paraId="308A7276" w14:textId="77777777" w:rsidR="003138DA" w:rsidRPr="00C04BE2" w:rsidRDefault="003138DA" w:rsidP="003138DA">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14,8% организаций производили доплату работникам, находящимся на больничном, в том числе в связи с нахождением на карантине. Размер мог достигать среднемесячного заработка.</w:t>
      </w:r>
    </w:p>
    <w:p w14:paraId="4A55F301" w14:textId="77777777" w:rsidR="003138DA" w:rsidRPr="00C04BE2" w:rsidRDefault="003138DA" w:rsidP="003138DA">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10,9% предприятий оплачивали услуги связи и интернета сотрудникам, работающим удалённо.</w:t>
      </w:r>
    </w:p>
    <w:p w14:paraId="5E585AE8" w14:textId="77777777" w:rsidR="003138DA" w:rsidRPr="00C04BE2" w:rsidRDefault="003138DA" w:rsidP="003138DA">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9,7% компаний оплачивали медицинскую помощь заболевшим сотрудникам.</w:t>
      </w:r>
    </w:p>
    <w:p w14:paraId="7EA4658C" w14:textId="77777777" w:rsidR="003138DA" w:rsidRPr="00C04BE2" w:rsidRDefault="003138DA" w:rsidP="003138DA">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8,9% организаций выплачивали дополнительные средства для приобретения защитных средств.</w:t>
      </w:r>
    </w:p>
    <w:p w14:paraId="03D8A1F3" w14:textId="77777777" w:rsidR="003138DA" w:rsidRPr="00C04BE2" w:rsidRDefault="003138DA" w:rsidP="003138DA">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7,8% оплачивали горячее питание для сотрудников.</w:t>
      </w:r>
    </w:p>
    <w:p w14:paraId="28C9A4F2" w14:textId="77777777" w:rsidR="003138DA" w:rsidRPr="00C04BE2" w:rsidRDefault="003138DA" w:rsidP="003138DA">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6,6% компаний выплачивали сотрудникам материальную помощь.</w:t>
      </w:r>
    </w:p>
    <w:p w14:paraId="5AC99E32" w14:textId="77777777" w:rsidR="003138DA" w:rsidRPr="00C04BE2" w:rsidRDefault="003138DA" w:rsidP="003138DA">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 xml:space="preserve">3,5% компаний оплачивали ряд услуг для сотрудников, работающих удалённо, – консультации по здоровому питанию, здоровому образу жизни, психологической помощи и т.п. </w:t>
      </w:r>
    </w:p>
    <w:p w14:paraId="03C6CC8B" w14:textId="77777777" w:rsidR="003138DA" w:rsidRPr="00C04BE2" w:rsidRDefault="003138DA" w:rsidP="003138DA">
      <w:pPr>
        <w:ind w:firstLine="708"/>
        <w:jc w:val="both"/>
        <w:rPr>
          <w:rFonts w:ascii="Garamond" w:eastAsiaTheme="minorHAnsi" w:hAnsi="Garamond"/>
          <w:sz w:val="28"/>
          <w:szCs w:val="28"/>
          <w:lang w:eastAsia="en-US"/>
        </w:rPr>
      </w:pPr>
    </w:p>
    <w:p w14:paraId="7CA1A4F1" w14:textId="77777777" w:rsidR="003138DA" w:rsidRPr="00C04BE2" w:rsidRDefault="003138DA" w:rsidP="003138DA">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Некоторые компании дали собственные варианты ответа:</w:t>
      </w:r>
    </w:p>
    <w:p w14:paraId="6041B772" w14:textId="77777777" w:rsidR="003138DA" w:rsidRPr="00C04BE2" w:rsidRDefault="003138DA" w:rsidP="003138DA">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w:t>
      </w:r>
      <w:r w:rsidRPr="00C04BE2">
        <w:rPr>
          <w:rFonts w:ascii="Garamond" w:eastAsiaTheme="minorHAnsi" w:hAnsi="Garamond"/>
          <w:sz w:val="28"/>
          <w:szCs w:val="28"/>
          <w:lang w:eastAsia="en-US"/>
        </w:rPr>
        <w:tab/>
        <w:t>анализ на антитела Covid-19 для группы риска;</w:t>
      </w:r>
    </w:p>
    <w:p w14:paraId="54278108" w14:textId="77777777" w:rsidR="003138DA" w:rsidRPr="00C04BE2" w:rsidRDefault="003138DA" w:rsidP="003138DA">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w:t>
      </w:r>
      <w:r w:rsidRPr="00C04BE2">
        <w:rPr>
          <w:rFonts w:ascii="Garamond" w:eastAsiaTheme="minorHAnsi" w:hAnsi="Garamond"/>
          <w:sz w:val="28"/>
          <w:szCs w:val="28"/>
          <w:lang w:eastAsia="en-US"/>
        </w:rPr>
        <w:tab/>
        <w:t>организация групповых видеозвонков с руководством компании, поддержка персонала посредством семинаров и тренингов;</w:t>
      </w:r>
    </w:p>
    <w:p w14:paraId="0A8DE9F9" w14:textId="77777777" w:rsidR="003138DA" w:rsidRPr="00C04BE2" w:rsidRDefault="003138DA" w:rsidP="003138DA">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w:t>
      </w:r>
      <w:r w:rsidRPr="00C04BE2">
        <w:rPr>
          <w:rFonts w:ascii="Garamond" w:eastAsiaTheme="minorHAnsi" w:hAnsi="Garamond"/>
          <w:sz w:val="28"/>
          <w:szCs w:val="28"/>
          <w:lang w:eastAsia="en-US"/>
        </w:rPr>
        <w:tab/>
        <w:t>материальная помощь бывшим сотрудникам старше 65 лет;</w:t>
      </w:r>
    </w:p>
    <w:p w14:paraId="0155B5AD" w14:textId="77777777" w:rsidR="003138DA" w:rsidRPr="00C04BE2" w:rsidRDefault="003138DA" w:rsidP="003138DA">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w:t>
      </w:r>
      <w:r w:rsidRPr="00C04BE2">
        <w:rPr>
          <w:rFonts w:ascii="Garamond" w:eastAsiaTheme="minorHAnsi" w:hAnsi="Garamond"/>
          <w:sz w:val="28"/>
          <w:szCs w:val="28"/>
          <w:lang w:eastAsia="en-US"/>
        </w:rPr>
        <w:tab/>
        <w:t>организация горячей линии и чат-бота для поддержки сотрудников; подключение услуги «Телемедицина»; помощь в получении цифровых пропусков на работу; организация онлайн-лагеря для детей сотрудников; проведение теле- и радиомарафонов для сотрудников, игры Quiz; организация волонтёрского движения.</w:t>
      </w:r>
    </w:p>
    <w:p w14:paraId="50275483" w14:textId="77777777" w:rsidR="003138DA" w:rsidRPr="00C04BE2" w:rsidRDefault="003138DA" w:rsidP="003138DA">
      <w:pPr>
        <w:ind w:firstLine="708"/>
        <w:jc w:val="both"/>
        <w:rPr>
          <w:rFonts w:ascii="Garamond" w:eastAsiaTheme="minorHAnsi" w:hAnsi="Garamond"/>
          <w:sz w:val="28"/>
          <w:szCs w:val="28"/>
          <w:lang w:eastAsia="en-US"/>
        </w:rPr>
      </w:pPr>
    </w:p>
    <w:p w14:paraId="0FE1F4F1" w14:textId="77777777" w:rsidR="003138DA" w:rsidRPr="00C04BE2" w:rsidRDefault="003138DA" w:rsidP="003138DA">
      <w:pPr>
        <w:ind w:firstLine="708"/>
        <w:jc w:val="both"/>
        <w:rPr>
          <w:rFonts w:ascii="Garamond" w:eastAsiaTheme="minorHAnsi" w:hAnsi="Garamond"/>
          <w:sz w:val="28"/>
          <w:szCs w:val="28"/>
          <w:lang w:eastAsia="en-US"/>
        </w:rPr>
      </w:pPr>
    </w:p>
    <w:p w14:paraId="6A7E8E33" w14:textId="77777777" w:rsidR="003138DA" w:rsidRPr="00C04BE2" w:rsidRDefault="003138DA" w:rsidP="003138DA">
      <w:pPr>
        <w:jc w:val="both"/>
        <w:rPr>
          <w:rFonts w:ascii="Garamond" w:hAnsi="Garamond"/>
          <w:sz w:val="26"/>
          <w:szCs w:val="26"/>
        </w:rPr>
      </w:pPr>
      <w:r w:rsidRPr="00C04BE2">
        <w:rPr>
          <w:rFonts w:ascii="Garamond" w:hAnsi="Garamond"/>
          <w:noProof/>
          <w:sz w:val="26"/>
          <w:szCs w:val="26"/>
        </w:rPr>
        <w:lastRenderedPageBreak/>
        <w:drawing>
          <wp:inline distT="0" distB="0" distL="0" distR="0" wp14:anchorId="142233C4" wp14:editId="7F2895A1">
            <wp:extent cx="5943600" cy="4552950"/>
            <wp:effectExtent l="19050" t="0" r="19050" b="0"/>
            <wp:docPr id="6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372B5157" w14:textId="77777777" w:rsidR="003138DA" w:rsidRPr="00C04BE2" w:rsidRDefault="003138DA" w:rsidP="00245707">
      <w:pPr>
        <w:ind w:firstLine="709"/>
        <w:jc w:val="both"/>
        <w:rPr>
          <w:rFonts w:ascii="Garamond" w:eastAsiaTheme="minorHAnsi" w:hAnsi="Garamond"/>
          <w:sz w:val="28"/>
          <w:szCs w:val="28"/>
          <w:lang w:eastAsia="en-US"/>
        </w:rPr>
      </w:pPr>
    </w:p>
    <w:p w14:paraId="4D5D9E2A" w14:textId="2BA4A48F" w:rsidR="006E7C6B" w:rsidRPr="00C04BE2" w:rsidRDefault="003F29F0" w:rsidP="00245707">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Помимо расходов на поддержку сотрудников и членов их семей, компании обеспечивать приобретение масок, защитных костюмов, медикаментов для медицинских организаций. Осуществлялись поставки в лечебные учреждения в «красную зону» бытовой техники, мебели, сплит-систем, кулеров для воды, планшетов, готовых обедов для медицинского персонала. Осуществлялась оплата повышения квалификации врачей.</w:t>
      </w:r>
    </w:p>
    <w:p w14:paraId="6649DAF6" w14:textId="2B69E4CF" w:rsidR="00D40DF5" w:rsidRPr="00C04BE2" w:rsidRDefault="00D40DF5" w:rsidP="00245707">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Органам государственной власти передавалась компьютерная технику для организации дистанционного обучения учащихся.</w:t>
      </w:r>
    </w:p>
    <w:p w14:paraId="09563C71" w14:textId="77777777" w:rsidR="006E7C6B" w:rsidRPr="00C04BE2" w:rsidRDefault="006E7C6B" w:rsidP="00245707">
      <w:pPr>
        <w:ind w:firstLine="709"/>
        <w:jc w:val="both"/>
        <w:rPr>
          <w:rFonts w:ascii="Garamond" w:eastAsiaTheme="minorHAnsi" w:hAnsi="Garamond"/>
          <w:i/>
          <w:sz w:val="28"/>
          <w:szCs w:val="28"/>
          <w:lang w:eastAsia="en-US"/>
        </w:rPr>
      </w:pPr>
    </w:p>
    <w:p w14:paraId="6BEDD304" w14:textId="77777777" w:rsidR="000F4AA3" w:rsidRPr="00C04BE2" w:rsidRDefault="000F4AA3" w:rsidP="00245707">
      <w:pPr>
        <w:pStyle w:val="1"/>
        <w:rPr>
          <w:rFonts w:ascii="Garamond" w:eastAsiaTheme="minorHAnsi" w:hAnsi="Garamond"/>
          <w:lang w:eastAsia="en-US"/>
        </w:rPr>
      </w:pPr>
      <w:bookmarkStart w:id="19" w:name="_Toc52745687"/>
      <w:r w:rsidRPr="00C04BE2">
        <w:rPr>
          <w:rFonts w:ascii="Garamond" w:eastAsiaTheme="minorHAnsi" w:hAnsi="Garamond"/>
          <w:lang w:eastAsia="en-US"/>
        </w:rPr>
        <w:t>Кадры и достойный труд</w:t>
      </w:r>
      <w:bookmarkEnd w:id="19"/>
    </w:p>
    <w:p w14:paraId="1DC5374B" w14:textId="77BCBDE5" w:rsidR="000F4AA3" w:rsidRPr="00C04BE2" w:rsidRDefault="000F4AA3" w:rsidP="00245707">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Дефицит кадров оста</w:t>
      </w:r>
      <w:r w:rsidR="003138DA" w:rsidRPr="00C04BE2">
        <w:rPr>
          <w:rFonts w:ascii="Garamond" w:eastAsiaTheme="minorHAnsi" w:hAnsi="Garamond"/>
          <w:sz w:val="28"/>
          <w:szCs w:val="28"/>
          <w:lang w:eastAsia="en-US"/>
        </w:rPr>
        <w:t>вался в 2019 году</w:t>
      </w:r>
      <w:r w:rsidRPr="00C04BE2">
        <w:rPr>
          <w:rFonts w:ascii="Garamond" w:eastAsiaTheme="minorHAnsi" w:hAnsi="Garamond"/>
          <w:sz w:val="28"/>
          <w:szCs w:val="28"/>
          <w:lang w:eastAsia="en-US"/>
        </w:rPr>
        <w:t xml:space="preserve"> одной из самых острых проблем по мнению 45% респондентов. Уже две трети компаний прогнозируют, что в среднесрочной перспективе им придётся столкнуться с нехваткой нужных сотрудников. </w:t>
      </w:r>
    </w:p>
    <w:p w14:paraId="31E6EF05" w14:textId="77777777" w:rsidR="000F4AA3" w:rsidRPr="00C04BE2" w:rsidRDefault="000F4AA3" w:rsidP="00245707">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 xml:space="preserve">В 57,1% компаний дефицит квалифицированных работников. Специалистов высшего уровня квалификации не хватает 47,4% организаций. </w:t>
      </w:r>
    </w:p>
    <w:p w14:paraId="036C6431" w14:textId="48749C63" w:rsidR="000F4AA3" w:rsidRDefault="000F4AA3" w:rsidP="00245707">
      <w:pPr>
        <w:ind w:firstLine="709"/>
        <w:jc w:val="both"/>
        <w:rPr>
          <w:rFonts w:ascii="Garamond" w:hAnsi="Garamond"/>
          <w:noProof/>
          <w:sz w:val="28"/>
          <w:szCs w:val="28"/>
        </w:rPr>
      </w:pPr>
      <w:r w:rsidRPr="00C04BE2">
        <w:rPr>
          <w:rFonts w:ascii="Garamond" w:eastAsiaTheme="minorHAnsi" w:hAnsi="Garamond"/>
          <w:sz w:val="28"/>
          <w:szCs w:val="28"/>
          <w:lang w:eastAsia="en-US"/>
        </w:rPr>
        <w:t xml:space="preserve">40,1% респондентов заявили, что они заинтересованы в дополнительном найме </w:t>
      </w:r>
      <w:r w:rsidRPr="00C04BE2">
        <w:rPr>
          <w:rFonts w:ascii="Garamond" w:hAnsi="Garamond"/>
          <w:noProof/>
          <w:sz w:val="28"/>
          <w:szCs w:val="28"/>
        </w:rPr>
        <w:t xml:space="preserve">операторов, аппаратчиков, машинистов установок и машин. Востребованы также специалисты среднего уровня квалификации – их не хватает трети опрошенных компаний. </w:t>
      </w:r>
    </w:p>
    <w:p w14:paraId="3CA06B77" w14:textId="77777777" w:rsidR="0026085E" w:rsidRPr="00C04BE2" w:rsidRDefault="0026085E" w:rsidP="00245707">
      <w:pPr>
        <w:ind w:firstLine="709"/>
        <w:jc w:val="both"/>
        <w:rPr>
          <w:rFonts w:ascii="Garamond" w:hAnsi="Garamond"/>
          <w:noProof/>
          <w:sz w:val="28"/>
          <w:szCs w:val="28"/>
        </w:rPr>
      </w:pPr>
    </w:p>
    <w:p w14:paraId="704C6950" w14:textId="77777777" w:rsidR="005C71B9" w:rsidRPr="00C04BE2" w:rsidRDefault="005C71B9" w:rsidP="005C71B9">
      <w:pPr>
        <w:jc w:val="center"/>
        <w:rPr>
          <w:rFonts w:ascii="Garamond" w:eastAsiaTheme="minorHAnsi" w:hAnsi="Garamond"/>
          <w:b/>
          <w:bCs/>
          <w:sz w:val="28"/>
          <w:szCs w:val="28"/>
          <w:lang w:eastAsia="en-US"/>
        </w:rPr>
      </w:pPr>
      <w:r w:rsidRPr="00C04BE2">
        <w:rPr>
          <w:rFonts w:ascii="Garamond" w:eastAsiaTheme="minorHAnsi" w:hAnsi="Garamond"/>
          <w:b/>
          <w:bCs/>
          <w:sz w:val="28"/>
          <w:szCs w:val="28"/>
          <w:lang w:eastAsia="en-US"/>
        </w:rPr>
        <w:lastRenderedPageBreak/>
        <w:t>Дефицит специалистов в следующих категориях работников в 2018 – 2019 годах, %</w:t>
      </w:r>
    </w:p>
    <w:p w14:paraId="3E712723" w14:textId="77777777" w:rsidR="005C71B9" w:rsidRPr="00C04BE2" w:rsidRDefault="005C71B9" w:rsidP="005C71B9">
      <w:pPr>
        <w:spacing w:line="360" w:lineRule="auto"/>
        <w:rPr>
          <w:rFonts w:ascii="Garamond" w:eastAsiaTheme="minorHAnsi" w:hAnsi="Garamond"/>
          <w:bCs/>
          <w:i/>
          <w:lang w:eastAsia="en-US"/>
        </w:rPr>
      </w:pPr>
      <w:r w:rsidRPr="00C04BE2">
        <w:rPr>
          <w:rFonts w:ascii="Garamond" w:hAnsi="Garamond"/>
          <w:noProof/>
        </w:rPr>
        <w:drawing>
          <wp:inline distT="0" distB="0" distL="0" distR="0" wp14:anchorId="22A954F6" wp14:editId="552D1FA2">
            <wp:extent cx="5924633" cy="3737113"/>
            <wp:effectExtent l="0" t="0" r="19050" b="15875"/>
            <wp:docPr id="183"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Pr="00C04BE2">
        <w:rPr>
          <w:rFonts w:ascii="Garamond" w:eastAsiaTheme="minorHAnsi" w:hAnsi="Garamond"/>
          <w:bCs/>
          <w:i/>
          <w:lang w:eastAsia="en-US"/>
        </w:rPr>
        <w:t>Данные по 2018 году были уточнены (исключены компании, не давшие ответа)</w:t>
      </w:r>
    </w:p>
    <w:p w14:paraId="15F733F9" w14:textId="77777777" w:rsidR="00C437D2" w:rsidRPr="00C04BE2" w:rsidRDefault="00C437D2" w:rsidP="00C437D2">
      <w:pPr>
        <w:ind w:firstLine="709"/>
        <w:jc w:val="both"/>
        <w:rPr>
          <w:rFonts w:ascii="Garamond" w:eastAsiaTheme="minorHAnsi" w:hAnsi="Garamond"/>
          <w:sz w:val="28"/>
          <w:szCs w:val="28"/>
          <w:lang w:eastAsia="en-US"/>
        </w:rPr>
      </w:pPr>
      <w:r w:rsidRPr="00C04BE2">
        <w:rPr>
          <w:rFonts w:ascii="Garamond" w:hAnsi="Garamond"/>
          <w:noProof/>
          <w:sz w:val="28"/>
          <w:szCs w:val="28"/>
        </w:rPr>
        <w:t xml:space="preserve">Дефицит по категории «руководители организаций и структурных подразделений» зафиксирован в 27,7% предприятий. </w:t>
      </w:r>
    </w:p>
    <w:p w14:paraId="47918B28" w14:textId="1ECDEF9B" w:rsidR="00C437D2" w:rsidRPr="00C04BE2" w:rsidRDefault="00C437D2" w:rsidP="00C437D2">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Большинство компаний – 80% – ответило, что сейчас у них нет потребности в найме неквалифицированных работниках и в специалистах, занятых подготовкой информации, оформлением документации, учетом и обслуживанием.</w:t>
      </w:r>
    </w:p>
    <w:p w14:paraId="174187C8" w14:textId="77777777" w:rsidR="003138DA" w:rsidRPr="00C04BE2" w:rsidRDefault="003138DA" w:rsidP="003138DA">
      <w:pPr>
        <w:ind w:firstLine="709"/>
        <w:jc w:val="both"/>
        <w:rPr>
          <w:rFonts w:ascii="Garamond" w:eastAsiaTheme="minorHAnsi" w:hAnsi="Garamond"/>
          <w:sz w:val="28"/>
          <w:szCs w:val="28"/>
          <w:lang w:eastAsia="en-US"/>
        </w:rPr>
      </w:pPr>
    </w:p>
    <w:p w14:paraId="02F094E1" w14:textId="71BA6855" w:rsidR="003138DA" w:rsidRPr="00C04BE2" w:rsidRDefault="003138DA" w:rsidP="003138DA">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 xml:space="preserve">В 2020 году потребность в найме работников всех категорий осталась прежней у 68,5% компаний (опрос РСПП, август 2020 г.). Число вакансий в целом снизилось в 13,4% организаций, выросло оно в 5,5% предприятий. </w:t>
      </w:r>
    </w:p>
    <w:p w14:paraId="628C2B64" w14:textId="77777777" w:rsidR="003138DA" w:rsidRPr="00C04BE2" w:rsidRDefault="003138DA" w:rsidP="003138DA">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12,6% респондентов ответили, что поиск сотрудников приостановлен (при этом в острую фазу распространения Covid-19 поиск сотрудников временно прекратили 28,3% компаний).</w:t>
      </w:r>
    </w:p>
    <w:p w14:paraId="36A2B443" w14:textId="77777777" w:rsidR="00F64210" w:rsidRPr="00096647" w:rsidRDefault="00F64210" w:rsidP="00F64210">
      <w:pPr>
        <w:ind w:firstLine="709"/>
        <w:jc w:val="both"/>
        <w:rPr>
          <w:rFonts w:ascii="Garamond" w:eastAsiaTheme="minorHAnsi" w:hAnsi="Garamond"/>
          <w:sz w:val="28"/>
          <w:szCs w:val="28"/>
          <w:lang w:eastAsia="en-US"/>
        </w:rPr>
      </w:pPr>
    </w:p>
    <w:p w14:paraId="1AEA3A18" w14:textId="77777777" w:rsidR="00F64210" w:rsidRPr="00350542" w:rsidRDefault="00F64210" w:rsidP="00F64210">
      <w:pPr>
        <w:ind w:firstLine="709"/>
        <w:jc w:val="both"/>
        <w:rPr>
          <w:rFonts w:ascii="Garamond" w:hAnsi="Garamond"/>
          <w:sz w:val="28"/>
          <w:szCs w:val="28"/>
        </w:rPr>
      </w:pPr>
      <w:r w:rsidRPr="00350542">
        <w:rPr>
          <w:rFonts w:ascii="Garamond" w:hAnsi="Garamond"/>
          <w:sz w:val="28"/>
          <w:szCs w:val="28"/>
        </w:rPr>
        <w:t xml:space="preserve">Работодатели нуждаются не просто в специалистах, а в специалистах, которые могут компетентно выполнять поставленные задачи и получать необходимый результат. </w:t>
      </w:r>
    </w:p>
    <w:p w14:paraId="26C376B3" w14:textId="77777777" w:rsidR="00F64210" w:rsidRPr="00096647" w:rsidRDefault="00F64210" w:rsidP="00F64210">
      <w:pPr>
        <w:ind w:firstLine="709"/>
        <w:jc w:val="both"/>
        <w:rPr>
          <w:rFonts w:ascii="Garamond" w:eastAsiaTheme="minorHAnsi" w:hAnsi="Garamond"/>
          <w:sz w:val="28"/>
          <w:szCs w:val="28"/>
          <w:lang w:eastAsia="en-US"/>
        </w:rPr>
      </w:pPr>
      <w:r>
        <w:rPr>
          <w:rFonts w:ascii="Garamond" w:eastAsiaTheme="minorHAnsi" w:hAnsi="Garamond"/>
          <w:sz w:val="28"/>
          <w:szCs w:val="28"/>
          <w:lang w:eastAsia="en-US"/>
        </w:rPr>
        <w:t>Они</w:t>
      </w:r>
      <w:r w:rsidRPr="00096647">
        <w:rPr>
          <w:rFonts w:ascii="Garamond" w:eastAsiaTheme="minorHAnsi" w:hAnsi="Garamond"/>
          <w:sz w:val="28"/>
          <w:szCs w:val="28"/>
          <w:lang w:eastAsia="en-US"/>
        </w:rPr>
        <w:t xml:space="preserve"> активно взаимодействуют с образовательными организациями по широкому перечню вопросов. Так, по данным опроса, проведенного Национальным агентством развития квалификаций в 2019 году с организациями системы СПО</w:t>
      </w:r>
      <w:r>
        <w:rPr>
          <w:rFonts w:ascii="Garamond" w:eastAsiaTheme="minorHAnsi" w:hAnsi="Garamond"/>
          <w:sz w:val="28"/>
          <w:szCs w:val="28"/>
          <w:lang w:eastAsia="en-US"/>
        </w:rPr>
        <w:t>,</w:t>
      </w:r>
      <w:r w:rsidRPr="00096647">
        <w:rPr>
          <w:rFonts w:ascii="Garamond" w:eastAsiaTheme="minorHAnsi" w:hAnsi="Garamond"/>
          <w:sz w:val="28"/>
          <w:szCs w:val="28"/>
          <w:lang w:eastAsia="en-US"/>
        </w:rPr>
        <w:t xml:space="preserve"> работодатели взаимодействовали боле</w:t>
      </w:r>
      <w:r>
        <w:rPr>
          <w:rFonts w:ascii="Garamond" w:eastAsiaTheme="minorHAnsi" w:hAnsi="Garamond"/>
          <w:sz w:val="28"/>
          <w:szCs w:val="28"/>
          <w:lang w:eastAsia="en-US"/>
        </w:rPr>
        <w:t>е</w:t>
      </w:r>
      <w:r w:rsidRPr="00096647">
        <w:rPr>
          <w:rFonts w:ascii="Garamond" w:eastAsiaTheme="minorHAnsi" w:hAnsi="Garamond"/>
          <w:sz w:val="28"/>
          <w:szCs w:val="28"/>
          <w:lang w:eastAsia="en-US"/>
        </w:rPr>
        <w:t xml:space="preserve"> чем по 20 направлениям, </w:t>
      </w:r>
      <w:r w:rsidRPr="00994EBD">
        <w:rPr>
          <w:rFonts w:ascii="Garamond" w:eastAsiaTheme="minorHAnsi" w:hAnsi="Garamond"/>
          <w:sz w:val="28"/>
          <w:szCs w:val="28"/>
          <w:lang w:eastAsia="en-US"/>
        </w:rPr>
        <w:t xml:space="preserve">основными </w:t>
      </w:r>
      <w:r w:rsidRPr="00096647">
        <w:rPr>
          <w:rFonts w:ascii="Garamond" w:eastAsiaTheme="minorHAnsi" w:hAnsi="Garamond"/>
          <w:sz w:val="28"/>
          <w:szCs w:val="28"/>
          <w:lang w:eastAsia="en-US"/>
        </w:rPr>
        <w:t xml:space="preserve">среди них являются (в % </w:t>
      </w:r>
      <w:r>
        <w:rPr>
          <w:rFonts w:ascii="Garamond" w:eastAsiaTheme="minorHAnsi" w:hAnsi="Garamond"/>
          <w:sz w:val="28"/>
          <w:szCs w:val="28"/>
          <w:lang w:eastAsia="en-US"/>
        </w:rPr>
        <w:t xml:space="preserve">от </w:t>
      </w:r>
      <w:r w:rsidRPr="00096647">
        <w:rPr>
          <w:rFonts w:ascii="Garamond" w:eastAsiaTheme="minorHAnsi" w:hAnsi="Garamond"/>
          <w:sz w:val="28"/>
          <w:szCs w:val="28"/>
          <w:lang w:eastAsia="en-US"/>
        </w:rPr>
        <w:t>общего числа опрошенных компаний):</w:t>
      </w:r>
    </w:p>
    <w:p w14:paraId="33AD6B8C" w14:textId="77777777" w:rsidR="00F64210" w:rsidRPr="00096647" w:rsidRDefault="00F64210" w:rsidP="00F64210">
      <w:pPr>
        <w:ind w:firstLine="709"/>
        <w:jc w:val="both"/>
        <w:rPr>
          <w:rFonts w:ascii="Garamond" w:eastAsiaTheme="minorHAnsi" w:hAnsi="Garamond"/>
          <w:sz w:val="28"/>
          <w:szCs w:val="28"/>
          <w:lang w:eastAsia="en-US"/>
        </w:rPr>
      </w:pPr>
      <w:r>
        <w:rPr>
          <w:rFonts w:ascii="Garamond" w:eastAsiaTheme="minorHAnsi" w:hAnsi="Garamond"/>
          <w:sz w:val="28"/>
          <w:szCs w:val="28"/>
          <w:lang w:eastAsia="en-US"/>
        </w:rPr>
        <w:t>-</w:t>
      </w:r>
      <w:r>
        <w:rPr>
          <w:rFonts w:ascii="Garamond" w:eastAsiaTheme="minorHAnsi" w:hAnsi="Garamond"/>
          <w:sz w:val="28"/>
          <w:szCs w:val="28"/>
          <w:lang w:eastAsia="en-US"/>
        </w:rPr>
        <w:tab/>
      </w:r>
      <w:r w:rsidRPr="00096647">
        <w:rPr>
          <w:rFonts w:ascii="Garamond" w:eastAsiaTheme="minorHAnsi" w:hAnsi="Garamond"/>
          <w:sz w:val="28"/>
          <w:szCs w:val="28"/>
          <w:lang w:eastAsia="en-US"/>
        </w:rPr>
        <w:t>переобучение и повышение квалификации своих работников - 19%;</w:t>
      </w:r>
    </w:p>
    <w:p w14:paraId="1F03AE61" w14:textId="77777777" w:rsidR="00F64210" w:rsidRPr="00096647" w:rsidRDefault="00F64210" w:rsidP="00F64210">
      <w:pPr>
        <w:ind w:firstLine="709"/>
        <w:jc w:val="both"/>
        <w:rPr>
          <w:rFonts w:ascii="Garamond" w:eastAsiaTheme="minorHAnsi" w:hAnsi="Garamond"/>
          <w:sz w:val="28"/>
          <w:szCs w:val="28"/>
          <w:lang w:eastAsia="en-US"/>
        </w:rPr>
      </w:pPr>
      <w:r>
        <w:rPr>
          <w:rFonts w:ascii="Garamond" w:eastAsiaTheme="minorHAnsi" w:hAnsi="Garamond"/>
          <w:sz w:val="28"/>
          <w:szCs w:val="28"/>
          <w:lang w:eastAsia="en-US"/>
        </w:rPr>
        <w:lastRenderedPageBreak/>
        <w:t>-</w:t>
      </w:r>
      <w:r>
        <w:rPr>
          <w:rFonts w:ascii="Garamond" w:eastAsiaTheme="minorHAnsi" w:hAnsi="Garamond"/>
          <w:sz w:val="28"/>
          <w:szCs w:val="28"/>
          <w:lang w:eastAsia="en-US"/>
        </w:rPr>
        <w:tab/>
      </w:r>
      <w:r w:rsidRPr="00096647">
        <w:rPr>
          <w:rFonts w:ascii="Garamond" w:eastAsiaTheme="minorHAnsi" w:hAnsi="Garamond"/>
          <w:sz w:val="28"/>
          <w:szCs w:val="28"/>
          <w:lang w:eastAsia="en-US"/>
        </w:rPr>
        <w:t>организация практики студентов – 44%;</w:t>
      </w:r>
    </w:p>
    <w:p w14:paraId="6B4594E1" w14:textId="77777777" w:rsidR="00F64210" w:rsidRPr="00350542" w:rsidRDefault="00F64210" w:rsidP="00F64210">
      <w:pPr>
        <w:shd w:val="clear" w:color="auto" w:fill="FFFFFF"/>
        <w:spacing w:line="276" w:lineRule="auto"/>
        <w:ind w:firstLine="709"/>
        <w:jc w:val="both"/>
        <w:rPr>
          <w:rFonts w:ascii="Garamond" w:hAnsi="Garamond"/>
          <w:sz w:val="28"/>
          <w:szCs w:val="28"/>
        </w:rPr>
      </w:pPr>
      <w:r>
        <w:rPr>
          <w:rFonts w:ascii="Garamond" w:hAnsi="Garamond"/>
          <w:sz w:val="28"/>
          <w:szCs w:val="28"/>
        </w:rPr>
        <w:t>-</w:t>
      </w:r>
      <w:r>
        <w:rPr>
          <w:rFonts w:ascii="Garamond" w:hAnsi="Garamond"/>
          <w:sz w:val="28"/>
          <w:szCs w:val="28"/>
        </w:rPr>
        <w:tab/>
      </w:r>
      <w:r w:rsidRPr="00350542">
        <w:rPr>
          <w:rFonts w:ascii="Garamond" w:hAnsi="Garamond"/>
          <w:sz w:val="28"/>
          <w:szCs w:val="28"/>
        </w:rPr>
        <w:t>целевое обучение – 16%;</w:t>
      </w:r>
    </w:p>
    <w:p w14:paraId="676D6D2D" w14:textId="77777777" w:rsidR="00F64210" w:rsidRPr="00350542" w:rsidRDefault="00F64210" w:rsidP="00F64210">
      <w:pPr>
        <w:shd w:val="clear" w:color="auto" w:fill="FFFFFF"/>
        <w:spacing w:line="276" w:lineRule="auto"/>
        <w:ind w:firstLine="709"/>
        <w:jc w:val="both"/>
        <w:rPr>
          <w:rFonts w:ascii="Garamond" w:hAnsi="Garamond"/>
          <w:sz w:val="28"/>
          <w:szCs w:val="28"/>
        </w:rPr>
      </w:pPr>
      <w:r>
        <w:rPr>
          <w:rFonts w:ascii="Garamond" w:hAnsi="Garamond"/>
          <w:sz w:val="28"/>
          <w:szCs w:val="28"/>
        </w:rPr>
        <w:t>-</w:t>
      </w:r>
      <w:r>
        <w:rPr>
          <w:rFonts w:ascii="Garamond" w:hAnsi="Garamond"/>
          <w:sz w:val="28"/>
          <w:szCs w:val="28"/>
        </w:rPr>
        <w:tab/>
      </w:r>
      <w:r w:rsidRPr="00350542">
        <w:rPr>
          <w:rFonts w:ascii="Garamond" w:hAnsi="Garamond"/>
          <w:sz w:val="28"/>
          <w:szCs w:val="28"/>
        </w:rPr>
        <w:t>участие в реализации образовательных программ – 12%.</w:t>
      </w:r>
    </w:p>
    <w:p w14:paraId="6C0257D9" w14:textId="77777777" w:rsidR="00F64210" w:rsidRPr="00350542" w:rsidRDefault="00F64210" w:rsidP="00F64210">
      <w:pPr>
        <w:shd w:val="clear" w:color="auto" w:fill="FFFFFF"/>
        <w:spacing w:line="276" w:lineRule="auto"/>
        <w:ind w:firstLine="709"/>
        <w:jc w:val="both"/>
        <w:rPr>
          <w:rFonts w:ascii="Garamond" w:hAnsi="Garamond"/>
          <w:sz w:val="28"/>
          <w:szCs w:val="28"/>
        </w:rPr>
      </w:pPr>
      <w:r>
        <w:rPr>
          <w:rFonts w:ascii="Garamond" w:hAnsi="Garamond"/>
          <w:sz w:val="28"/>
          <w:szCs w:val="28"/>
        </w:rPr>
        <w:t>-</w:t>
      </w:r>
      <w:r>
        <w:rPr>
          <w:rFonts w:ascii="Garamond" w:hAnsi="Garamond"/>
          <w:sz w:val="28"/>
          <w:szCs w:val="28"/>
        </w:rPr>
        <w:tab/>
      </w:r>
      <w:r w:rsidRPr="00350542">
        <w:rPr>
          <w:rFonts w:ascii="Garamond" w:hAnsi="Garamond"/>
          <w:sz w:val="28"/>
          <w:szCs w:val="28"/>
        </w:rPr>
        <w:t>участие в проведение профессионального экзамена – 12%.</w:t>
      </w:r>
    </w:p>
    <w:p w14:paraId="30F10D61" w14:textId="0ADA3A93" w:rsidR="00F64210" w:rsidRPr="00096647" w:rsidRDefault="00F64210" w:rsidP="00F64210">
      <w:pPr>
        <w:ind w:firstLine="709"/>
        <w:jc w:val="both"/>
        <w:rPr>
          <w:rFonts w:ascii="Garamond" w:eastAsiaTheme="minorHAnsi" w:hAnsi="Garamond"/>
          <w:sz w:val="28"/>
          <w:szCs w:val="28"/>
          <w:lang w:eastAsia="en-US"/>
        </w:rPr>
      </w:pPr>
      <w:r>
        <w:rPr>
          <w:rFonts w:ascii="Garamond" w:eastAsiaTheme="minorHAnsi" w:hAnsi="Garamond"/>
          <w:sz w:val="28"/>
          <w:szCs w:val="28"/>
          <w:lang w:eastAsia="en-US"/>
        </w:rPr>
        <w:t>При этом в софинансировании ресурсных центров принимало участие только 2% участников опроса, а в реализации сетевых программ – 3%.</w:t>
      </w:r>
    </w:p>
    <w:p w14:paraId="2A9B0B4C" w14:textId="77777777" w:rsidR="00F64210" w:rsidRPr="00096647" w:rsidRDefault="00F64210" w:rsidP="00F64210">
      <w:pPr>
        <w:ind w:firstLine="709"/>
        <w:jc w:val="both"/>
        <w:rPr>
          <w:rFonts w:ascii="Garamond" w:eastAsiaTheme="minorHAnsi" w:hAnsi="Garamond"/>
          <w:sz w:val="28"/>
          <w:szCs w:val="28"/>
          <w:lang w:eastAsia="en-US"/>
        </w:rPr>
      </w:pPr>
      <w:r w:rsidRPr="00350542">
        <w:rPr>
          <w:rFonts w:ascii="Garamond" w:hAnsi="Garamond"/>
          <w:sz w:val="28"/>
          <w:szCs w:val="28"/>
        </w:rPr>
        <w:t>В последние годы Национальным советом при Президенте РФ по профессиональным квалификациям сделано многое, чтобы сократить разрыв между требованиями работодателей и подготовкой в колледжах и вузах, сделать обучение более прикладным.</w:t>
      </w:r>
    </w:p>
    <w:p w14:paraId="3594641C" w14:textId="77777777" w:rsidR="000F4AA3" w:rsidRPr="00C04BE2" w:rsidRDefault="000F4AA3" w:rsidP="00245707">
      <w:pPr>
        <w:ind w:firstLine="709"/>
        <w:jc w:val="both"/>
        <w:rPr>
          <w:rFonts w:ascii="Garamond" w:eastAsiaTheme="minorHAnsi" w:hAnsi="Garamond"/>
          <w:sz w:val="28"/>
          <w:szCs w:val="28"/>
          <w:lang w:eastAsia="en-US"/>
        </w:rPr>
      </w:pPr>
    </w:p>
    <w:p w14:paraId="7D550A1F" w14:textId="77777777" w:rsidR="000F4AA3" w:rsidRPr="00C04BE2" w:rsidRDefault="000F4AA3" w:rsidP="00245707">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В 2019 году участникам был задан вопрос, действуют ли в их компаниях гибкие формы занятости, предусмотренные ТК РФ. В 41,8% компаний применяется гибкая рабочая неделя, в 34,5% организаций часть сотрудников работает в режиме гибкой рабочей смены. Чуть ниже доля варианта «в компании есть возможность работать удалённо»</w:t>
      </w:r>
      <w:r w:rsidR="008877BE" w:rsidRPr="00C04BE2">
        <w:rPr>
          <w:rFonts w:ascii="Garamond" w:eastAsiaTheme="minorHAnsi" w:hAnsi="Garamond"/>
          <w:sz w:val="28"/>
          <w:szCs w:val="28"/>
          <w:lang w:eastAsia="en-US"/>
        </w:rPr>
        <w:t> </w:t>
      </w:r>
      <w:r w:rsidRPr="00C04BE2">
        <w:rPr>
          <w:rFonts w:ascii="Garamond" w:eastAsiaTheme="minorHAnsi" w:hAnsi="Garamond"/>
          <w:sz w:val="28"/>
          <w:szCs w:val="28"/>
          <w:lang w:eastAsia="en-US"/>
        </w:rPr>
        <w:t>– она составила 27,6%. Реже всего встречается вахтовый метод работы, его используют только 12,4% предприятий.</w:t>
      </w:r>
    </w:p>
    <w:p w14:paraId="42723ABA" w14:textId="77777777" w:rsidR="000F4AA3" w:rsidRPr="00C04BE2" w:rsidRDefault="000F4AA3" w:rsidP="00245707">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29,1% респондентов ответили, что в их компаниях гибкие формы занятости не применяются.</w:t>
      </w:r>
    </w:p>
    <w:p w14:paraId="3343C7F7" w14:textId="77777777" w:rsidR="000F4AA3" w:rsidRPr="00C04BE2" w:rsidRDefault="000F4AA3" w:rsidP="00245707">
      <w:pPr>
        <w:ind w:firstLine="709"/>
        <w:jc w:val="both"/>
        <w:rPr>
          <w:rFonts w:ascii="Garamond" w:eastAsiaTheme="minorHAnsi" w:hAnsi="Garamond"/>
          <w:sz w:val="28"/>
          <w:szCs w:val="28"/>
          <w:lang w:eastAsia="en-US"/>
        </w:rPr>
      </w:pPr>
    </w:p>
    <w:p w14:paraId="4A5B12C4" w14:textId="77777777" w:rsidR="005C71B9" w:rsidRPr="00C04BE2" w:rsidRDefault="005C71B9" w:rsidP="005C71B9">
      <w:pPr>
        <w:ind w:firstLine="709"/>
        <w:rPr>
          <w:rFonts w:ascii="Garamond" w:eastAsiaTheme="minorHAnsi" w:hAnsi="Garamond"/>
          <w:b/>
          <w:bCs/>
          <w:sz w:val="28"/>
          <w:szCs w:val="28"/>
          <w:lang w:eastAsia="en-US"/>
        </w:rPr>
      </w:pPr>
      <w:r w:rsidRPr="00C04BE2">
        <w:rPr>
          <w:rFonts w:ascii="Garamond" w:eastAsiaTheme="minorHAnsi" w:hAnsi="Garamond"/>
          <w:b/>
          <w:bCs/>
          <w:sz w:val="28"/>
          <w:szCs w:val="28"/>
          <w:lang w:eastAsia="en-US"/>
        </w:rPr>
        <w:t>Использование гибких форм занятости в компаниях, 2019 год, %</w:t>
      </w:r>
    </w:p>
    <w:p w14:paraId="22EBC059" w14:textId="77777777" w:rsidR="005C71B9" w:rsidRPr="00C04BE2" w:rsidRDefault="005C71B9" w:rsidP="005C71B9">
      <w:pPr>
        <w:jc w:val="both"/>
        <w:rPr>
          <w:rFonts w:ascii="Garamond" w:eastAsiaTheme="minorHAnsi" w:hAnsi="Garamond"/>
          <w:lang w:eastAsia="en-US"/>
        </w:rPr>
      </w:pPr>
      <w:r w:rsidRPr="00C04BE2">
        <w:rPr>
          <w:rFonts w:ascii="Garamond" w:hAnsi="Garamond"/>
          <w:bCs/>
          <w:noProof/>
        </w:rPr>
        <w:drawing>
          <wp:inline distT="0" distB="0" distL="0" distR="0" wp14:anchorId="3F236185" wp14:editId="4B60F2B9">
            <wp:extent cx="5944511" cy="1601360"/>
            <wp:effectExtent l="0" t="0" r="18415" b="18415"/>
            <wp:docPr id="99" name="Диаграмма 9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C04BE2">
        <w:rPr>
          <w:rFonts w:ascii="Garamond" w:eastAsiaTheme="minorHAnsi" w:hAnsi="Garamond"/>
          <w:i/>
          <w:lang w:eastAsia="en-US"/>
        </w:rPr>
        <w:t>Вопрос предполагал возможность множественного выбора ответов, поэтому общая доля не сводится к 100%.</w:t>
      </w:r>
    </w:p>
    <w:p w14:paraId="493ED353" w14:textId="77777777" w:rsidR="000F4AA3" w:rsidRPr="00C04BE2" w:rsidRDefault="000F4AA3" w:rsidP="00245707">
      <w:pPr>
        <w:ind w:firstLine="709"/>
        <w:jc w:val="both"/>
        <w:rPr>
          <w:rFonts w:ascii="Garamond" w:eastAsiaTheme="minorHAnsi" w:hAnsi="Garamond"/>
          <w:sz w:val="28"/>
          <w:szCs w:val="28"/>
          <w:lang w:eastAsia="en-US"/>
        </w:rPr>
      </w:pPr>
    </w:p>
    <w:p w14:paraId="047E5B85" w14:textId="77777777" w:rsidR="000F4AA3" w:rsidRPr="00C04BE2" w:rsidRDefault="000F4AA3" w:rsidP="00245707">
      <w:pPr>
        <w:ind w:firstLine="709"/>
        <w:jc w:val="both"/>
        <w:rPr>
          <w:rFonts w:ascii="Garamond" w:eastAsiaTheme="minorHAnsi" w:hAnsi="Garamond"/>
          <w:sz w:val="28"/>
          <w:szCs w:val="28"/>
          <w:lang w:eastAsia="en-US"/>
        </w:rPr>
      </w:pPr>
    </w:p>
    <w:p w14:paraId="664B89BC" w14:textId="49C6AB07" w:rsidR="00AA0905" w:rsidRPr="00C04BE2" w:rsidRDefault="00AA0905" w:rsidP="003138DA">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В острую фазу эпидемии новой коронавирусной инфекции 72,9% компаний перевели часть работников на удалённый (дистанционный) режим работы. 10,5% перевели на удалённый режим весь кадровый состав.</w:t>
      </w:r>
      <w:r w:rsidR="003138DA" w:rsidRPr="00C04BE2">
        <w:rPr>
          <w:rFonts w:ascii="Garamond" w:eastAsiaTheme="minorHAnsi" w:hAnsi="Garamond"/>
          <w:sz w:val="28"/>
          <w:szCs w:val="28"/>
          <w:lang w:eastAsia="en-US"/>
        </w:rPr>
        <w:t xml:space="preserve"> </w:t>
      </w:r>
      <w:r w:rsidRPr="00C04BE2">
        <w:rPr>
          <w:rFonts w:ascii="Garamond" w:eastAsiaTheme="minorHAnsi" w:hAnsi="Garamond"/>
          <w:sz w:val="28"/>
          <w:szCs w:val="28"/>
          <w:lang w:eastAsia="en-US"/>
        </w:rPr>
        <w:t>Более четверти опрошенных приостановили приём новых работников.</w:t>
      </w:r>
    </w:p>
    <w:p w14:paraId="7AEFD326" w14:textId="77777777" w:rsidR="00AA0905" w:rsidRPr="00C04BE2" w:rsidRDefault="00AA0905" w:rsidP="003138DA">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16,7% организаций ввели сокращённый рабочий день (или неделю) для части сотрудников. В четыре раза реже респонденты указывали, что сокращённый рабочий день был введён для всех сотрудников предприятия.</w:t>
      </w:r>
    </w:p>
    <w:p w14:paraId="3A9F24BB" w14:textId="77777777" w:rsidR="00AA0905" w:rsidRPr="00C04BE2" w:rsidRDefault="00AA0905" w:rsidP="003138DA">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16,3% компаний предоставили по заявлению части работников неоплачиваемый отпуск. Только в 0,8% организаций в неоплачиваемый отпуск были отправлены все сотрудники.</w:t>
      </w:r>
    </w:p>
    <w:p w14:paraId="6A34A9A5" w14:textId="77777777" w:rsidR="00AA0905" w:rsidRPr="00C04BE2" w:rsidRDefault="00AA0905" w:rsidP="003138DA">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Бюджет на социальные программы для части работников сократили 3,1% предприятий, для всех сотрудников – 1,2% компаний.</w:t>
      </w:r>
    </w:p>
    <w:p w14:paraId="67C6768F" w14:textId="0672B9A5" w:rsidR="00AA0905" w:rsidRPr="00C04BE2" w:rsidRDefault="00AA0905" w:rsidP="003138DA">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lastRenderedPageBreak/>
        <w:t xml:space="preserve">2,3% организаций сократили численность персонала. 2% предприятий сократили заработную плату сотрудников. </w:t>
      </w:r>
    </w:p>
    <w:p w14:paraId="265FDB90" w14:textId="77777777" w:rsidR="00C825EC" w:rsidRPr="00C04BE2" w:rsidRDefault="00C825EC" w:rsidP="003138DA">
      <w:pPr>
        <w:ind w:firstLine="709"/>
        <w:jc w:val="both"/>
        <w:rPr>
          <w:rFonts w:ascii="Garamond" w:eastAsiaTheme="minorHAnsi" w:hAnsi="Garamond"/>
          <w:sz w:val="28"/>
          <w:szCs w:val="28"/>
          <w:lang w:eastAsia="en-US"/>
        </w:rPr>
      </w:pPr>
    </w:p>
    <w:p w14:paraId="4676EE04" w14:textId="77777777" w:rsidR="00C825EC" w:rsidRPr="00C04BE2" w:rsidRDefault="00C825EC" w:rsidP="00C825EC">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Более половины респондентов (57,1%) прогнозируют, что заработная плата сотрудников после кризиса не изменится, при этом её рост и не был запланирован. В 21,3% заработная плата также не изменится, правда, в этих компаниях он до начала кризиса был запланирован.</w:t>
      </w:r>
    </w:p>
    <w:p w14:paraId="5B95ECF6" w14:textId="77777777" w:rsidR="00C825EC" w:rsidRPr="00C04BE2" w:rsidRDefault="00C825EC" w:rsidP="00C825EC">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В пятой части компаний заработная плата вырастет: в 9,4% согласно годовой индексации, в 7,1% – благодаря росту самих организаций, в 2% предприятий рост произойдёт за счёт оптимизации персонала.</w:t>
      </w:r>
    </w:p>
    <w:p w14:paraId="299679DE" w14:textId="77777777" w:rsidR="00AA0905" w:rsidRPr="00C04BE2" w:rsidRDefault="00AA0905" w:rsidP="003138DA">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29,1% компаний заявили, что продолжали работать в обычном режиме. При этом почти половина из них (46,7%) также выбрали вариант «перевели часть работников на удалённый режим».</w:t>
      </w:r>
    </w:p>
    <w:p w14:paraId="0CCDF692" w14:textId="77777777" w:rsidR="00AA0905" w:rsidRPr="00C04BE2" w:rsidRDefault="00AA0905" w:rsidP="00AA0905">
      <w:pPr>
        <w:jc w:val="both"/>
        <w:rPr>
          <w:rFonts w:ascii="Garamond" w:hAnsi="Garamond"/>
          <w:sz w:val="26"/>
          <w:szCs w:val="26"/>
        </w:rPr>
      </w:pPr>
    </w:p>
    <w:p w14:paraId="5478E600" w14:textId="77777777" w:rsidR="00AA0905" w:rsidRPr="00C04BE2" w:rsidRDefault="00AA0905" w:rsidP="00AA0905">
      <w:pPr>
        <w:jc w:val="both"/>
        <w:rPr>
          <w:rFonts w:ascii="Garamond" w:hAnsi="Garamond"/>
          <w:sz w:val="26"/>
          <w:szCs w:val="26"/>
        </w:rPr>
      </w:pPr>
      <w:r w:rsidRPr="00C04BE2">
        <w:rPr>
          <w:rFonts w:ascii="Garamond" w:hAnsi="Garamond"/>
          <w:noProof/>
          <w:sz w:val="26"/>
          <w:szCs w:val="26"/>
        </w:rPr>
        <w:drawing>
          <wp:inline distT="0" distB="0" distL="0" distR="0" wp14:anchorId="1DD13EF2" wp14:editId="7F688FE5">
            <wp:extent cx="5743575" cy="3133725"/>
            <wp:effectExtent l="19050" t="0" r="9525" b="0"/>
            <wp:docPr id="2070"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3D1C7939" w14:textId="77777777" w:rsidR="00AA0905" w:rsidRPr="00C04BE2" w:rsidRDefault="00AA0905" w:rsidP="003138DA">
      <w:pPr>
        <w:ind w:firstLine="708"/>
        <w:jc w:val="both"/>
        <w:rPr>
          <w:rFonts w:ascii="Garamond" w:eastAsiaTheme="minorHAnsi" w:hAnsi="Garamond"/>
          <w:sz w:val="28"/>
          <w:szCs w:val="28"/>
          <w:lang w:eastAsia="en-US"/>
        </w:rPr>
      </w:pPr>
    </w:p>
    <w:p w14:paraId="0BC62960" w14:textId="4848E38F" w:rsidR="001E29BA" w:rsidRPr="00C04BE2" w:rsidRDefault="003138DA" w:rsidP="003138DA">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 xml:space="preserve">Что качается прогноза </w:t>
      </w:r>
      <w:r w:rsidR="001E29BA" w:rsidRPr="00C04BE2">
        <w:rPr>
          <w:rFonts w:ascii="Garamond" w:eastAsiaTheme="minorHAnsi" w:hAnsi="Garamond"/>
          <w:sz w:val="28"/>
          <w:szCs w:val="28"/>
          <w:lang w:eastAsia="en-US"/>
        </w:rPr>
        <w:t>измен</w:t>
      </w:r>
      <w:r w:rsidRPr="00C04BE2">
        <w:rPr>
          <w:rFonts w:ascii="Garamond" w:eastAsiaTheme="minorHAnsi" w:hAnsi="Garamond"/>
          <w:sz w:val="28"/>
          <w:szCs w:val="28"/>
          <w:lang w:eastAsia="en-US"/>
        </w:rPr>
        <w:t xml:space="preserve">ения </w:t>
      </w:r>
      <w:r w:rsidR="001E29BA" w:rsidRPr="00C04BE2">
        <w:rPr>
          <w:rFonts w:ascii="Garamond" w:eastAsiaTheme="minorHAnsi" w:hAnsi="Garamond"/>
          <w:sz w:val="28"/>
          <w:szCs w:val="28"/>
          <w:lang w:eastAsia="en-US"/>
        </w:rPr>
        <w:t>рынк</w:t>
      </w:r>
      <w:r w:rsidRPr="00C04BE2">
        <w:rPr>
          <w:rFonts w:ascii="Garamond" w:eastAsiaTheme="minorHAnsi" w:hAnsi="Garamond"/>
          <w:sz w:val="28"/>
          <w:szCs w:val="28"/>
          <w:lang w:eastAsia="en-US"/>
        </w:rPr>
        <w:t>а</w:t>
      </w:r>
      <w:r w:rsidR="001E29BA" w:rsidRPr="00C04BE2">
        <w:rPr>
          <w:rFonts w:ascii="Garamond" w:eastAsiaTheme="minorHAnsi" w:hAnsi="Garamond"/>
          <w:sz w:val="28"/>
          <w:szCs w:val="28"/>
          <w:lang w:eastAsia="en-US"/>
        </w:rPr>
        <w:t xml:space="preserve"> труда после завершения пандемии</w:t>
      </w:r>
      <w:r w:rsidRPr="00C04BE2">
        <w:rPr>
          <w:rFonts w:ascii="Garamond" w:eastAsiaTheme="minorHAnsi" w:hAnsi="Garamond"/>
          <w:sz w:val="28"/>
          <w:szCs w:val="28"/>
          <w:lang w:eastAsia="en-US"/>
        </w:rPr>
        <w:t>, то п</w:t>
      </w:r>
      <w:r w:rsidR="001E29BA" w:rsidRPr="00C04BE2">
        <w:rPr>
          <w:rFonts w:ascii="Garamond" w:eastAsiaTheme="minorHAnsi" w:hAnsi="Garamond"/>
          <w:sz w:val="28"/>
          <w:szCs w:val="28"/>
          <w:lang w:eastAsia="en-US"/>
        </w:rPr>
        <w:t xml:space="preserve">о мнению 61,7% респондентов, число сотрудников, работающих удалённо, вырастет. </w:t>
      </w:r>
    </w:p>
    <w:p w14:paraId="4C2DF535" w14:textId="77777777" w:rsidR="001E29BA" w:rsidRPr="00C04BE2" w:rsidRDefault="001E29BA" w:rsidP="003138DA">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 xml:space="preserve">Половина компаний считает, что требования к каждому сотруднику, в том числе в области знания цифровых технологий, станут выше. </w:t>
      </w:r>
    </w:p>
    <w:p w14:paraId="1A24C7F9" w14:textId="77777777" w:rsidR="001E29BA" w:rsidRPr="00C04BE2" w:rsidRDefault="001E29BA" w:rsidP="003138DA">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Треть организаций уверена, что многие профессии перейдут в онлайн.</w:t>
      </w:r>
    </w:p>
    <w:p w14:paraId="10186D82" w14:textId="77777777" w:rsidR="001E29BA" w:rsidRPr="00C04BE2" w:rsidRDefault="001E29BA" w:rsidP="003138DA">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 xml:space="preserve">Равную долю – 28,1% – набрали варианты: «требования к сотрудникам станут жёстче» и «поиск новых работников станет легче из-за роста безработицы». </w:t>
      </w:r>
    </w:p>
    <w:p w14:paraId="142DC3BC" w14:textId="77777777" w:rsidR="001E29BA" w:rsidRPr="00C04BE2" w:rsidRDefault="001E29BA" w:rsidP="003138DA">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Три возможных последствия указали примерно 22% опрошенных:</w:t>
      </w:r>
    </w:p>
    <w:p w14:paraId="3ABABCEB" w14:textId="77777777" w:rsidR="001E29BA" w:rsidRPr="00C04BE2" w:rsidRDefault="001E29BA" w:rsidP="003138DA">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 xml:space="preserve">общее число занятых сократится за счёт перевода рабочих процессов в автоматический режим, на цифровые технологии; </w:t>
      </w:r>
    </w:p>
    <w:p w14:paraId="28EE5100" w14:textId="77777777" w:rsidR="001E29BA" w:rsidRPr="00C04BE2" w:rsidRDefault="001E29BA" w:rsidP="003138DA">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 xml:space="preserve">произойдёт перевод сотрудников на неполную рабочую неделю, неполный рабочий день или даже сокращение сотрудников, чтобы минимизировать потери после кризиса; </w:t>
      </w:r>
    </w:p>
    <w:p w14:paraId="59A6275E" w14:textId="77777777" w:rsidR="001E29BA" w:rsidRPr="00C04BE2" w:rsidRDefault="001E29BA" w:rsidP="003138DA">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lastRenderedPageBreak/>
        <w:t>вырастут масштабы частичной занятости, срочных трудовых договоров, договоров на сдельную работу.</w:t>
      </w:r>
    </w:p>
    <w:p w14:paraId="56412E18" w14:textId="77777777" w:rsidR="001E29BA" w:rsidRPr="00C04BE2" w:rsidRDefault="001E29BA" w:rsidP="003138DA">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Наименее популярный ответ «процедуры приёма на работу станут сложнее, удлинится процесс трудоустройства» отметили 5,9% организаций.</w:t>
      </w:r>
    </w:p>
    <w:p w14:paraId="46134E3F" w14:textId="77777777" w:rsidR="001E29BA" w:rsidRPr="00C04BE2" w:rsidRDefault="001E29BA" w:rsidP="00C825EC">
      <w:pPr>
        <w:rPr>
          <w:rFonts w:ascii="Garamond" w:hAnsi="Garamond"/>
        </w:rPr>
      </w:pPr>
      <w:r w:rsidRPr="00C04BE2">
        <w:rPr>
          <w:rFonts w:ascii="Garamond" w:hAnsi="Garamond"/>
          <w:noProof/>
        </w:rPr>
        <w:drawing>
          <wp:inline distT="0" distB="0" distL="0" distR="0" wp14:anchorId="6DADA957" wp14:editId="3A46625F">
            <wp:extent cx="6000750" cy="4057650"/>
            <wp:effectExtent l="19050" t="0" r="19050" b="0"/>
            <wp:docPr id="69"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378FE5B3" w14:textId="77777777" w:rsidR="00AA0905" w:rsidRPr="00C04BE2" w:rsidRDefault="00AA0905" w:rsidP="00AA0905">
      <w:pPr>
        <w:jc w:val="both"/>
        <w:rPr>
          <w:rFonts w:ascii="Garamond" w:hAnsi="Garamond"/>
          <w:sz w:val="26"/>
          <w:szCs w:val="26"/>
        </w:rPr>
      </w:pPr>
    </w:p>
    <w:p w14:paraId="1048A08F" w14:textId="6170506F" w:rsidR="00AA0905" w:rsidRPr="00C04BE2" w:rsidRDefault="00AA0905" w:rsidP="003138DA">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Треть организаций перевела на удалённую (дистанционную) форму работы до 10% сотрудников</w:t>
      </w:r>
      <w:r w:rsidR="003138DA" w:rsidRPr="00C04BE2">
        <w:rPr>
          <w:rStyle w:val="a8"/>
          <w:rFonts w:ascii="Garamond" w:eastAsiaTheme="minorHAnsi" w:hAnsi="Garamond"/>
          <w:sz w:val="28"/>
          <w:szCs w:val="28"/>
          <w:lang w:eastAsia="en-US"/>
        </w:rPr>
        <w:footnoteReference w:id="6"/>
      </w:r>
      <w:r w:rsidRPr="00C04BE2">
        <w:rPr>
          <w:rFonts w:ascii="Garamond" w:eastAsiaTheme="minorHAnsi" w:hAnsi="Garamond"/>
          <w:sz w:val="28"/>
          <w:szCs w:val="28"/>
          <w:lang w:eastAsia="en-US"/>
        </w:rPr>
        <w:t>. Примерно в таком же числе компаний на удалённый режим перешли от 10% до 50% работников. В 21,5% доля сотрудников, работающих в острую фазу эпидемии Covid-19 удалённо, составила от 50% до 90%. Чуть более десятой части компаний отметили вариант «доля работников более 90%».</w:t>
      </w:r>
    </w:p>
    <w:p w14:paraId="4D445847" w14:textId="77777777" w:rsidR="00AA0905" w:rsidRPr="00C04BE2" w:rsidRDefault="00AA0905" w:rsidP="00AA0905">
      <w:pPr>
        <w:jc w:val="both"/>
        <w:rPr>
          <w:rFonts w:ascii="Garamond" w:hAnsi="Garamond"/>
          <w:sz w:val="26"/>
          <w:szCs w:val="26"/>
        </w:rPr>
      </w:pPr>
    </w:p>
    <w:p w14:paraId="51FB7CD3" w14:textId="77777777" w:rsidR="00AA0905" w:rsidRPr="00C04BE2" w:rsidRDefault="00AA0905" w:rsidP="00AA0905">
      <w:pPr>
        <w:jc w:val="both"/>
        <w:rPr>
          <w:rFonts w:ascii="Garamond" w:hAnsi="Garamond"/>
          <w:sz w:val="26"/>
          <w:szCs w:val="26"/>
        </w:rPr>
      </w:pPr>
      <w:r w:rsidRPr="00C04BE2">
        <w:rPr>
          <w:rFonts w:ascii="Garamond" w:hAnsi="Garamond"/>
          <w:noProof/>
          <w:sz w:val="26"/>
          <w:szCs w:val="26"/>
        </w:rPr>
        <w:drawing>
          <wp:inline distT="0" distB="0" distL="0" distR="0" wp14:anchorId="6965370E" wp14:editId="6AFDFF75">
            <wp:extent cx="5762625" cy="1771650"/>
            <wp:effectExtent l="19050" t="0" r="9525" b="0"/>
            <wp:docPr id="2071" name="Диаграмма 207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37F08D1C" w14:textId="77777777" w:rsidR="00AA0905" w:rsidRPr="00C04BE2" w:rsidRDefault="00AA0905" w:rsidP="00AA0905">
      <w:pPr>
        <w:jc w:val="both"/>
        <w:rPr>
          <w:rFonts w:ascii="Garamond" w:hAnsi="Garamond"/>
          <w:sz w:val="26"/>
          <w:szCs w:val="26"/>
        </w:rPr>
      </w:pPr>
    </w:p>
    <w:p w14:paraId="59E7340B" w14:textId="77777777" w:rsidR="00AA0905" w:rsidRPr="00C04BE2" w:rsidRDefault="00AA0905" w:rsidP="00AA0905">
      <w:pPr>
        <w:jc w:val="both"/>
        <w:rPr>
          <w:rFonts w:ascii="Garamond" w:hAnsi="Garamond"/>
          <w:sz w:val="8"/>
          <w:szCs w:val="8"/>
        </w:rPr>
      </w:pPr>
    </w:p>
    <w:p w14:paraId="15C46A0F" w14:textId="77777777" w:rsidR="00AA0905" w:rsidRPr="00C04BE2" w:rsidRDefault="00AA0905" w:rsidP="003138DA">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 xml:space="preserve">89,2% компаний смогли организовать в полном объёме удалённую (дистанционную) форму работы – перевести на неё всех, кого планировали. В </w:t>
      </w:r>
      <w:r w:rsidRPr="00C04BE2">
        <w:rPr>
          <w:rFonts w:ascii="Garamond" w:eastAsiaTheme="minorHAnsi" w:hAnsi="Garamond"/>
          <w:sz w:val="28"/>
          <w:szCs w:val="28"/>
          <w:lang w:eastAsia="en-US"/>
        </w:rPr>
        <w:lastRenderedPageBreak/>
        <w:t xml:space="preserve">45,2% организаций и в будущем сохранится потребность в работе сотрудников в режиме удалённой (дистанционной) занятости. </w:t>
      </w:r>
    </w:p>
    <w:p w14:paraId="2B256FAE" w14:textId="77777777" w:rsidR="00AA0905" w:rsidRPr="00C04BE2" w:rsidRDefault="00AA0905" w:rsidP="00AA0905">
      <w:pPr>
        <w:jc w:val="both"/>
        <w:rPr>
          <w:rFonts w:ascii="Garamond" w:hAnsi="Garamond"/>
          <w:sz w:val="26"/>
          <w:szCs w:val="26"/>
        </w:rPr>
      </w:pPr>
    </w:p>
    <w:p w14:paraId="563A42D2" w14:textId="77777777" w:rsidR="00AA0905" w:rsidRPr="00C04BE2" w:rsidRDefault="00AA0905" w:rsidP="00AA0905">
      <w:pPr>
        <w:spacing w:line="360" w:lineRule="auto"/>
        <w:jc w:val="both"/>
        <w:rPr>
          <w:rFonts w:ascii="Garamond" w:hAnsi="Garamond"/>
        </w:rPr>
      </w:pPr>
      <w:r w:rsidRPr="00C04BE2">
        <w:rPr>
          <w:rFonts w:ascii="Garamond" w:hAnsi="Garamond"/>
          <w:noProof/>
        </w:rPr>
        <w:drawing>
          <wp:inline distT="0" distB="0" distL="0" distR="0" wp14:anchorId="2D3E1082" wp14:editId="410C1F5F">
            <wp:extent cx="2809875" cy="3228975"/>
            <wp:effectExtent l="19050" t="0" r="9525" b="0"/>
            <wp:docPr id="2073"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C04BE2">
        <w:rPr>
          <w:rFonts w:ascii="Garamond" w:eastAsiaTheme="minorHAnsi" w:hAnsi="Garamond"/>
          <w:b/>
          <w:noProof/>
          <w:sz w:val="28"/>
          <w:szCs w:val="28"/>
        </w:rPr>
        <w:drawing>
          <wp:inline distT="0" distB="0" distL="0" distR="0" wp14:anchorId="091C58AE" wp14:editId="1F82C489">
            <wp:extent cx="2886075" cy="3228975"/>
            <wp:effectExtent l="19050" t="0" r="9525" b="0"/>
            <wp:docPr id="2074"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14225F9D" w14:textId="77777777" w:rsidR="00AA0905" w:rsidRPr="00C04BE2" w:rsidRDefault="00AA0905" w:rsidP="00AA0905">
      <w:pPr>
        <w:jc w:val="both"/>
        <w:rPr>
          <w:rFonts w:ascii="Garamond" w:hAnsi="Garamond"/>
          <w:sz w:val="26"/>
          <w:szCs w:val="26"/>
        </w:rPr>
      </w:pPr>
    </w:p>
    <w:p w14:paraId="2B06F4F7" w14:textId="77777777" w:rsidR="00AA0905" w:rsidRPr="00C04BE2" w:rsidRDefault="00AA0905" w:rsidP="00AA0905">
      <w:pPr>
        <w:jc w:val="both"/>
        <w:rPr>
          <w:rFonts w:ascii="Garamond" w:hAnsi="Garamond"/>
          <w:sz w:val="8"/>
          <w:szCs w:val="8"/>
        </w:rPr>
      </w:pPr>
    </w:p>
    <w:p w14:paraId="44F07894" w14:textId="77777777" w:rsidR="00AA0905" w:rsidRPr="00C04BE2" w:rsidRDefault="00AA0905" w:rsidP="003138DA">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Наибольшую эффективность для 54,5% компаний показал временный перевод на дистанционные / удалённые рабочие места с последующим возвращением работников в организацию. Чуть меньше компаний – 44,6% – ответили, что их устраивает комбинирование дистанционного режима с работой на рабочем месте в организации. Только один участник опроса выбрал вариант «перевод сотрудников на постоянную работу в дистанционном режиме с последующим сохранением такого режима».</w:t>
      </w:r>
    </w:p>
    <w:p w14:paraId="584E9F3B" w14:textId="77777777" w:rsidR="00AA0905" w:rsidRPr="00C04BE2" w:rsidRDefault="00AA0905" w:rsidP="003138DA">
      <w:pPr>
        <w:ind w:firstLine="708"/>
        <w:jc w:val="both"/>
        <w:rPr>
          <w:rFonts w:ascii="Garamond" w:eastAsiaTheme="minorHAnsi" w:hAnsi="Garamond"/>
          <w:sz w:val="28"/>
          <w:szCs w:val="28"/>
          <w:lang w:eastAsia="en-US"/>
        </w:rPr>
      </w:pPr>
    </w:p>
    <w:p w14:paraId="5B3F6FA0" w14:textId="77777777" w:rsidR="00AA0905" w:rsidRPr="00C04BE2" w:rsidRDefault="00AA0905" w:rsidP="003138DA">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 xml:space="preserve">Большинство компаний (69,7%), планирующих и в дальнейшем сохранить режим дистанционной /удалённой работы, считают наиболее эффективным комбинирование этой формы занятости с работой на рабочем месте в организации. Напротив, три четверти респондентов, давших отрицательный ответ, видят в удалённом режиме работы лишь временный вариант. </w:t>
      </w:r>
    </w:p>
    <w:p w14:paraId="3CAAE09D" w14:textId="77777777" w:rsidR="00AA0905" w:rsidRPr="00C04BE2" w:rsidRDefault="00AA0905" w:rsidP="003138DA">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38,8% респондентов заявили, что в их организациях не было проблем и трудностей при переводе работников на удалённый (дистанционный) режим. При этом у трети из них раньше не было опыта работы в удалённом режиме, а две трети применяли такую форму занятости и до начала эпидемии.</w:t>
      </w:r>
    </w:p>
    <w:p w14:paraId="7F5BDBB5" w14:textId="77777777" w:rsidR="003138DA" w:rsidRPr="00C04BE2" w:rsidRDefault="003138DA" w:rsidP="003138DA">
      <w:pPr>
        <w:ind w:firstLine="708"/>
        <w:jc w:val="both"/>
        <w:rPr>
          <w:rFonts w:ascii="Garamond" w:eastAsiaTheme="minorHAnsi" w:hAnsi="Garamond"/>
          <w:sz w:val="28"/>
          <w:szCs w:val="28"/>
          <w:lang w:eastAsia="en-US"/>
        </w:rPr>
      </w:pPr>
    </w:p>
    <w:p w14:paraId="354DCD9D" w14:textId="02089D0D" w:rsidR="00AA0905" w:rsidRPr="00C04BE2" w:rsidRDefault="00AA0905" w:rsidP="003138DA">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 xml:space="preserve">61,2% организаций столкнулись с рядом проблем. Если принять их число за 100%, то главной проблемой для 61,3% компаний стало отсутствие технических возможностей обеспечить работу персонала в удалённом (дистанционном) режиме с той же эффективностью, что и в офисе. 43,8% организаций столкнулись со сложностями при обеспечении информационную безопасности. Примерно равная доля компаний – около 27% – указала проблемы: «отсутствие готовности сотрудников перейти на работу в онлайн-режиме» и «сложность обеспечить </w:t>
      </w:r>
      <w:r w:rsidRPr="00C04BE2">
        <w:rPr>
          <w:rFonts w:ascii="Garamond" w:eastAsiaTheme="minorHAnsi" w:hAnsi="Garamond"/>
          <w:sz w:val="28"/>
          <w:szCs w:val="28"/>
          <w:lang w:eastAsia="en-US"/>
        </w:rPr>
        <w:lastRenderedPageBreak/>
        <w:t>перевод работников на удалённую (дистанционную) форму согласно правовым нормам, действующим в РФ».</w:t>
      </w:r>
    </w:p>
    <w:p w14:paraId="19ACE837" w14:textId="77777777" w:rsidR="00AA0905" w:rsidRPr="00C04BE2" w:rsidRDefault="00AA0905" w:rsidP="003138DA">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Некоторые компании описали другие проблемы: трудности контроля эффективности удалённой работы, а также чёткого соблюдения нормальной продолжительности рабочего времени и часов работы, установленных в ПВТР; снижение производительности работы; отсутствие технических средств для дистанционной работы, в целом.</w:t>
      </w:r>
    </w:p>
    <w:p w14:paraId="1955496B" w14:textId="77777777" w:rsidR="00AA0905" w:rsidRPr="00C04BE2" w:rsidRDefault="00AA0905" w:rsidP="003138DA">
      <w:pPr>
        <w:ind w:firstLine="708"/>
        <w:jc w:val="both"/>
        <w:rPr>
          <w:rFonts w:ascii="Garamond" w:eastAsiaTheme="minorHAnsi" w:hAnsi="Garamond"/>
          <w:sz w:val="28"/>
          <w:szCs w:val="28"/>
          <w:lang w:eastAsia="en-US"/>
        </w:rPr>
      </w:pPr>
    </w:p>
    <w:p w14:paraId="77EE53A0" w14:textId="77777777" w:rsidR="00AA0905" w:rsidRPr="00C04BE2" w:rsidRDefault="00AA0905" w:rsidP="00AA0905">
      <w:pPr>
        <w:jc w:val="both"/>
        <w:rPr>
          <w:rFonts w:ascii="Garamond" w:hAnsi="Garamond"/>
          <w:sz w:val="26"/>
          <w:szCs w:val="26"/>
        </w:rPr>
      </w:pPr>
      <w:r w:rsidRPr="00C04BE2">
        <w:rPr>
          <w:rFonts w:ascii="Garamond" w:hAnsi="Garamond"/>
          <w:noProof/>
          <w:sz w:val="26"/>
          <w:szCs w:val="26"/>
        </w:rPr>
        <w:drawing>
          <wp:inline distT="0" distB="0" distL="0" distR="0" wp14:anchorId="76BA6D85" wp14:editId="69087888">
            <wp:extent cx="5940425" cy="2247900"/>
            <wp:effectExtent l="19050" t="0" r="22225" b="0"/>
            <wp:docPr id="65"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0D0B2574" w14:textId="77777777" w:rsidR="00AA0905" w:rsidRPr="00C04BE2" w:rsidRDefault="00AA0905" w:rsidP="00AA0905">
      <w:pPr>
        <w:jc w:val="both"/>
        <w:rPr>
          <w:rFonts w:ascii="Garamond" w:hAnsi="Garamond"/>
          <w:sz w:val="26"/>
          <w:szCs w:val="26"/>
        </w:rPr>
      </w:pPr>
    </w:p>
    <w:p w14:paraId="4201A73D" w14:textId="77777777" w:rsidR="008C6649" w:rsidRPr="00C04BE2" w:rsidRDefault="008C6649" w:rsidP="00245707">
      <w:pPr>
        <w:pStyle w:val="1"/>
        <w:rPr>
          <w:rFonts w:ascii="Garamond" w:eastAsiaTheme="minorHAnsi" w:hAnsi="Garamond"/>
          <w:lang w:eastAsia="en-US"/>
        </w:rPr>
      </w:pPr>
      <w:bookmarkStart w:id="20" w:name="_Toc474765181"/>
      <w:bookmarkStart w:id="21" w:name="_Toc52745688"/>
      <w:r w:rsidRPr="00C04BE2">
        <w:rPr>
          <w:rFonts w:ascii="Garamond" w:eastAsiaTheme="minorHAnsi" w:hAnsi="Garamond"/>
          <w:lang w:eastAsia="en-US"/>
        </w:rPr>
        <w:t>Фискальная нагрузка</w:t>
      </w:r>
      <w:bookmarkEnd w:id="20"/>
      <w:bookmarkEnd w:id="21"/>
    </w:p>
    <w:p w14:paraId="5479AF24" w14:textId="77777777" w:rsidR="008C6649" w:rsidRPr="00C04BE2" w:rsidRDefault="008C6649" w:rsidP="00245707">
      <w:pPr>
        <w:ind w:firstLine="429"/>
        <w:jc w:val="both"/>
        <w:rPr>
          <w:rFonts w:ascii="Garamond" w:eastAsiaTheme="minorHAnsi" w:hAnsi="Garamond"/>
          <w:sz w:val="28"/>
          <w:szCs w:val="28"/>
          <w:lang w:eastAsia="en-US"/>
        </w:rPr>
      </w:pPr>
      <w:r w:rsidRPr="00C04BE2">
        <w:rPr>
          <w:rFonts w:ascii="Garamond" w:eastAsiaTheme="minorHAnsi" w:hAnsi="Garamond"/>
          <w:sz w:val="28"/>
          <w:szCs w:val="28"/>
          <w:lang w:eastAsia="en-US"/>
        </w:rPr>
        <w:t>Фискальная нагрузка в 2019 году, по оценкам более половины респондентов, выросла. 36,8% участников опроса считают, что она осталась без изменений. Только десятая часть компаний почувствовала снижение фискальной нагрузки.</w:t>
      </w:r>
    </w:p>
    <w:p w14:paraId="5B40EC11" w14:textId="77777777" w:rsidR="008C6649" w:rsidRPr="00C04BE2" w:rsidRDefault="008C6649" w:rsidP="00245707">
      <w:pPr>
        <w:jc w:val="center"/>
        <w:rPr>
          <w:rFonts w:ascii="Garamond" w:eastAsiaTheme="minorHAnsi" w:hAnsi="Garamond"/>
          <w:b/>
          <w:bCs/>
          <w:lang w:eastAsia="en-US"/>
        </w:rPr>
      </w:pPr>
    </w:p>
    <w:p w14:paraId="64AD28E8" w14:textId="77777777" w:rsidR="005C71B9" w:rsidRPr="00C04BE2" w:rsidRDefault="005C71B9" w:rsidP="005C71B9">
      <w:pPr>
        <w:jc w:val="center"/>
        <w:rPr>
          <w:rFonts w:ascii="Garamond" w:eastAsiaTheme="minorHAnsi" w:hAnsi="Garamond"/>
          <w:b/>
          <w:bCs/>
          <w:sz w:val="28"/>
          <w:szCs w:val="28"/>
          <w:lang w:eastAsia="en-US"/>
        </w:rPr>
      </w:pPr>
      <w:r w:rsidRPr="00C04BE2">
        <w:rPr>
          <w:rFonts w:ascii="Garamond" w:eastAsiaTheme="minorHAnsi" w:hAnsi="Garamond"/>
          <w:b/>
          <w:bCs/>
          <w:sz w:val="28"/>
          <w:szCs w:val="28"/>
          <w:lang w:eastAsia="en-US"/>
        </w:rPr>
        <w:t>Уровень фискальной нагрузки в 2018 – 2019 годах, %</w:t>
      </w:r>
    </w:p>
    <w:p w14:paraId="6207393A" w14:textId="77777777" w:rsidR="005C71B9" w:rsidRPr="00C04BE2" w:rsidRDefault="005C71B9" w:rsidP="005C71B9">
      <w:pPr>
        <w:rPr>
          <w:rFonts w:ascii="Garamond" w:eastAsiaTheme="minorHAnsi" w:hAnsi="Garamond"/>
          <w:sz w:val="28"/>
          <w:szCs w:val="28"/>
          <w:lang w:eastAsia="en-US"/>
        </w:rPr>
      </w:pPr>
      <w:r w:rsidRPr="00C04BE2">
        <w:rPr>
          <w:rFonts w:ascii="Garamond" w:hAnsi="Garamond"/>
          <w:bCs/>
          <w:noProof/>
        </w:rPr>
        <w:drawing>
          <wp:inline distT="0" distB="0" distL="0" distR="0" wp14:anchorId="7CE2D00C" wp14:editId="24546328">
            <wp:extent cx="5944511" cy="1457739"/>
            <wp:effectExtent l="0" t="0" r="18415" b="9525"/>
            <wp:docPr id="104"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4A2B43F5" w14:textId="77777777" w:rsidR="008C6649" w:rsidRPr="00C04BE2" w:rsidRDefault="008C6649" w:rsidP="00BE60B7">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Компании стали значимо чаще отмечать вариант «уровень фискальной нагрузки скорее вырос». Если в 2018 году его доля составляла 15,8%, то в 2019 году она достигла 23,3% при одновременном сокращении нейтральных ответов.</w:t>
      </w:r>
    </w:p>
    <w:p w14:paraId="78DAD854" w14:textId="77777777" w:rsidR="008C6649" w:rsidRPr="00C04BE2" w:rsidRDefault="008C6649" w:rsidP="00BE60B7">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 xml:space="preserve">Среднее значение совокупной нагрузки от выручки (налоги и сборы, таможенные платежи, расходы на обязательное страхование и так далее) составило 27,2%. Медиана оказалась чуть ниже – 23,7%. </w:t>
      </w:r>
    </w:p>
    <w:p w14:paraId="7EAA15E8" w14:textId="77777777" w:rsidR="008C6649" w:rsidRPr="00C04BE2" w:rsidRDefault="008C6649" w:rsidP="00BE60B7">
      <w:pPr>
        <w:ind w:firstLine="709"/>
        <w:jc w:val="both"/>
        <w:rPr>
          <w:rFonts w:ascii="Garamond" w:eastAsiaTheme="minorHAnsi" w:hAnsi="Garamond"/>
          <w:sz w:val="28"/>
          <w:szCs w:val="28"/>
          <w:lang w:eastAsia="en-US"/>
        </w:rPr>
      </w:pPr>
    </w:p>
    <w:p w14:paraId="5E176E2C" w14:textId="77777777" w:rsidR="008C6649" w:rsidRPr="00C04BE2" w:rsidRDefault="008C6649" w:rsidP="00BE60B7">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У компаний, отметивших снижение уровня налоговой нагрузки в 2019 году, объём расходов на обязательные платежи в целом выше – среднее значение уровня нагрузки равно 34,7%, у остальных компаний оно – 26,3% (отличие статистически значимо).</w:t>
      </w:r>
    </w:p>
    <w:p w14:paraId="43EA88CB" w14:textId="6375E2B6" w:rsidR="008C6649" w:rsidRDefault="008C6649" w:rsidP="00BE60B7">
      <w:pPr>
        <w:ind w:firstLine="709"/>
        <w:jc w:val="both"/>
        <w:rPr>
          <w:rFonts w:ascii="Garamond" w:eastAsiaTheme="minorHAnsi" w:hAnsi="Garamond"/>
          <w:sz w:val="28"/>
          <w:szCs w:val="28"/>
          <w:lang w:eastAsia="en-US"/>
        </w:rPr>
      </w:pPr>
    </w:p>
    <w:p w14:paraId="178EA26C" w14:textId="77777777" w:rsidR="005C71B9" w:rsidRPr="00C04BE2" w:rsidRDefault="005C71B9" w:rsidP="005C71B9">
      <w:pPr>
        <w:jc w:val="center"/>
        <w:rPr>
          <w:rFonts w:ascii="Garamond" w:eastAsiaTheme="minorHAnsi" w:hAnsi="Garamond"/>
          <w:b/>
          <w:bCs/>
          <w:sz w:val="28"/>
          <w:szCs w:val="28"/>
          <w:lang w:eastAsia="en-US"/>
        </w:rPr>
      </w:pPr>
      <w:r w:rsidRPr="00C04BE2">
        <w:rPr>
          <w:rFonts w:ascii="Garamond" w:eastAsiaTheme="minorHAnsi" w:hAnsi="Garamond"/>
          <w:b/>
          <w:bCs/>
          <w:sz w:val="28"/>
          <w:szCs w:val="28"/>
          <w:lang w:eastAsia="en-US"/>
        </w:rPr>
        <w:lastRenderedPageBreak/>
        <w:t xml:space="preserve">Доля расходов на все обязательные платежи в выручке компании, </w:t>
      </w:r>
    </w:p>
    <w:p w14:paraId="55F9D86F" w14:textId="77777777" w:rsidR="005C71B9" w:rsidRPr="00C04BE2" w:rsidRDefault="005C71B9" w:rsidP="005C71B9">
      <w:pPr>
        <w:jc w:val="center"/>
        <w:rPr>
          <w:rFonts w:ascii="Garamond" w:eastAsiaTheme="minorHAnsi" w:hAnsi="Garamond"/>
          <w:b/>
          <w:bCs/>
          <w:sz w:val="28"/>
          <w:szCs w:val="28"/>
          <w:lang w:eastAsia="en-US"/>
        </w:rPr>
      </w:pPr>
      <w:r w:rsidRPr="00C04BE2">
        <w:rPr>
          <w:rFonts w:ascii="Garamond" w:eastAsiaTheme="minorHAnsi" w:hAnsi="Garamond"/>
          <w:b/>
          <w:bCs/>
          <w:sz w:val="28"/>
          <w:szCs w:val="28"/>
          <w:lang w:eastAsia="en-US"/>
        </w:rPr>
        <w:t>в 2018 – 2019 годах, %</w:t>
      </w:r>
    </w:p>
    <w:p w14:paraId="6CF0F3F0" w14:textId="77777777" w:rsidR="005C71B9" w:rsidRPr="00C04BE2" w:rsidRDefault="005C71B9" w:rsidP="005C71B9">
      <w:pPr>
        <w:jc w:val="both"/>
        <w:rPr>
          <w:rFonts w:ascii="Garamond" w:eastAsiaTheme="minorHAnsi" w:hAnsi="Garamond"/>
          <w:sz w:val="28"/>
          <w:szCs w:val="28"/>
          <w:lang w:eastAsia="en-US"/>
        </w:rPr>
      </w:pPr>
      <w:r w:rsidRPr="00C04BE2">
        <w:rPr>
          <w:rFonts w:ascii="Garamond" w:hAnsi="Garamond"/>
          <w:bCs/>
          <w:noProof/>
        </w:rPr>
        <w:drawing>
          <wp:inline distT="0" distB="0" distL="0" distR="0" wp14:anchorId="546CC6AD" wp14:editId="6C0ED02F">
            <wp:extent cx="5944511" cy="1895061"/>
            <wp:effectExtent l="0" t="0" r="18415" b="10160"/>
            <wp:docPr id="107"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72CB2151" w14:textId="7CC8E815" w:rsidR="008C6649" w:rsidRPr="00C04BE2" w:rsidRDefault="008C6649" w:rsidP="00BE60B7">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 xml:space="preserve">Более трети компаний приходится отчислять от 25,1% до 50% выручки на все налоги и сборы, таможенные платежи, расходы на обязательное страхование и др. Фискальная нагрузка в 18,6% организаций находится в интервале от 17,6% до 25% выручки, такое же число компаний указало, что их </w:t>
      </w:r>
      <w:r w:rsidR="00ED0C6D" w:rsidRPr="00C04BE2">
        <w:rPr>
          <w:rFonts w:ascii="Garamond" w:eastAsiaTheme="minorHAnsi" w:hAnsi="Garamond"/>
          <w:sz w:val="28"/>
          <w:szCs w:val="28"/>
          <w:lang w:eastAsia="en-US"/>
        </w:rPr>
        <w:t xml:space="preserve">отчисления </w:t>
      </w:r>
      <w:r w:rsidRPr="00C04BE2">
        <w:rPr>
          <w:rFonts w:ascii="Garamond" w:eastAsiaTheme="minorHAnsi" w:hAnsi="Garamond"/>
          <w:sz w:val="28"/>
          <w:szCs w:val="28"/>
          <w:lang w:eastAsia="en-US"/>
        </w:rPr>
        <w:t>в бюджет находятся в рамках от 10,1% до 17,5% выручки.</w:t>
      </w:r>
    </w:p>
    <w:p w14:paraId="537C9DCF" w14:textId="77777777" w:rsidR="00BE60B7" w:rsidRPr="00C04BE2" w:rsidRDefault="00BE60B7" w:rsidP="00BE60B7">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В 2020 году были приняты решения о предоставлении ряда мер поддержки российским компаниям в налоговой сфере.</w:t>
      </w:r>
    </w:p>
    <w:p w14:paraId="39BC7FA4" w14:textId="6B789146" w:rsidR="00D06C43" w:rsidRPr="00C04BE2" w:rsidRDefault="00BE60B7" w:rsidP="00BE60B7">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 xml:space="preserve">Уровень осведомленности бизнеса о них довольно высокий (опрос РСПП, май 2020 г.). </w:t>
      </w:r>
      <w:r w:rsidR="00D06C43" w:rsidRPr="00C04BE2">
        <w:rPr>
          <w:rFonts w:ascii="Garamond" w:eastAsiaTheme="minorHAnsi" w:hAnsi="Garamond"/>
          <w:sz w:val="28"/>
          <w:szCs w:val="28"/>
          <w:lang w:eastAsia="en-US"/>
        </w:rPr>
        <w:t xml:space="preserve">Единственная мера, о которой не были осведомлены более десятой части респондентов, – «учёт расходов на приобретение медицинских изделий для диагностики (лечения) новой коронавирусной инфекции по перечню, утверждаемому Правительством Российской Федерации, а также на сооружение, изготовление, доставку и доведение указанных медицинских изделий до состояния, в котором они пригодны для использования постановление» (постановление 48.12 п. 1 ст. 264 НК РФ от 22 апреля 2020). </w:t>
      </w:r>
    </w:p>
    <w:p w14:paraId="0F7997D7" w14:textId="77777777" w:rsidR="00D06C43" w:rsidRPr="00C04BE2" w:rsidRDefault="00D06C43" w:rsidP="00D06C43">
      <w:pPr>
        <w:jc w:val="both"/>
        <w:rPr>
          <w:rFonts w:ascii="Garamond" w:hAnsi="Garamond"/>
          <w:sz w:val="26"/>
          <w:szCs w:val="26"/>
        </w:rPr>
      </w:pPr>
      <w:r w:rsidRPr="00C04BE2">
        <w:rPr>
          <w:rFonts w:ascii="Garamond" w:hAnsi="Garamond"/>
          <w:sz w:val="26"/>
          <w:szCs w:val="26"/>
        </w:rPr>
        <w:lastRenderedPageBreak/>
        <w:t xml:space="preserve"> </w:t>
      </w:r>
      <w:r w:rsidRPr="00C04BE2">
        <w:rPr>
          <w:rFonts w:ascii="Garamond" w:hAnsi="Garamond"/>
          <w:noProof/>
          <w:sz w:val="26"/>
          <w:szCs w:val="26"/>
        </w:rPr>
        <w:drawing>
          <wp:inline distT="0" distB="0" distL="0" distR="0" wp14:anchorId="28CE366A" wp14:editId="0A0A3962">
            <wp:extent cx="5705475" cy="4924425"/>
            <wp:effectExtent l="19050" t="0" r="9525" b="0"/>
            <wp:docPr id="25"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37F5E310" w14:textId="77777777" w:rsidR="00D06C43" w:rsidRPr="00C04BE2" w:rsidRDefault="00D06C43" w:rsidP="00BE60B7">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Большинство организаций (71,6%) учитывало расходы на дезинсекцию помещений и приобретение приборов, лабораторного оборудования, спецодежды и других средств защиты для выполнения санитарно-эпидемиологических и гигиенических требований органов власти в текущих условиях.</w:t>
      </w:r>
    </w:p>
    <w:p w14:paraId="6F14A9C3" w14:textId="77777777" w:rsidR="00D06C43" w:rsidRPr="00C04BE2" w:rsidRDefault="00D06C43" w:rsidP="00BE60B7">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Возможностью продлить сроки ответов на налоговые требования воспользовалась половина компаний, возможностью продлить сроки предоставления отчётности – 37,3%.</w:t>
      </w:r>
    </w:p>
    <w:p w14:paraId="06C18C96" w14:textId="77777777" w:rsidR="00D06C43" w:rsidRPr="00C04BE2" w:rsidRDefault="00D06C43" w:rsidP="00BE60B7">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Примерно столько же респондентов ответили, что организации учитывали в целях налогообложения расходы на приобретение медицинских изделий для диагностики (лечения) новой коронавирусной инфекции согласно утверждённому перечню.</w:t>
      </w:r>
    </w:p>
    <w:p w14:paraId="4A3B1BF3" w14:textId="77777777" w:rsidR="00D06C43" w:rsidRPr="00C04BE2" w:rsidRDefault="00D06C43" w:rsidP="00BE60B7">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 xml:space="preserve">В два раза меньше компаний – 18,7% – перешли на уплату авансовых платежей по налогу на прибыль, исходя из фактической прибыли (эта мера действует до окончания налогового периода 2020 года). </w:t>
      </w:r>
    </w:p>
    <w:p w14:paraId="58AC21BA" w14:textId="77777777" w:rsidR="00D06C43" w:rsidRPr="00C04BE2" w:rsidRDefault="00D06C43" w:rsidP="00D06C43">
      <w:pPr>
        <w:contextualSpacing/>
        <w:jc w:val="both"/>
        <w:rPr>
          <w:rStyle w:val="af6"/>
          <w:rFonts w:ascii="Garamond" w:hAnsi="Garamond"/>
        </w:rPr>
      </w:pPr>
    </w:p>
    <w:p w14:paraId="5E96BE5A" w14:textId="77777777" w:rsidR="00D06C43" w:rsidRPr="00C04BE2" w:rsidRDefault="00D06C43" w:rsidP="00D06C43">
      <w:pPr>
        <w:contextualSpacing/>
        <w:jc w:val="both"/>
        <w:rPr>
          <w:rStyle w:val="af6"/>
          <w:rFonts w:ascii="Garamond" w:hAnsi="Garamond"/>
        </w:rPr>
      </w:pPr>
      <w:r w:rsidRPr="00C04BE2">
        <w:rPr>
          <w:rFonts w:ascii="Garamond" w:hAnsi="Garamond"/>
          <w:b/>
          <w:bCs/>
          <w:i/>
          <w:iCs/>
          <w:noProof/>
          <w:color w:val="4F81BD" w:themeColor="accent1"/>
        </w:rPr>
        <w:lastRenderedPageBreak/>
        <w:drawing>
          <wp:inline distT="0" distB="0" distL="0" distR="0" wp14:anchorId="454812E8" wp14:editId="790A31DC">
            <wp:extent cx="5743575" cy="3133725"/>
            <wp:effectExtent l="19050" t="0" r="9525"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58115E1B" w14:textId="77777777" w:rsidR="00D06C43" w:rsidRPr="00C04BE2" w:rsidRDefault="00D06C43" w:rsidP="00D06C43">
      <w:pPr>
        <w:contextualSpacing/>
        <w:jc w:val="both"/>
        <w:rPr>
          <w:rStyle w:val="af6"/>
          <w:rFonts w:ascii="Garamond" w:hAnsi="Garamond"/>
        </w:rPr>
      </w:pPr>
    </w:p>
    <w:p w14:paraId="5034A18E" w14:textId="77777777" w:rsidR="00D06C43" w:rsidRPr="00C04BE2" w:rsidRDefault="00D06C43" w:rsidP="00BE60B7">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 xml:space="preserve">Две из трёх мер, направленных на помощь субъектам МСП, распространялись только на компании из наиболее пострадавших отраслей в условиях кризиса. Лишь незначительная доля компаний смогла получить поддержку: 8,3% субъектов МСП удалось отложить уплату налогов, авансовых платежей по налогам и страховым взносам; 4,9% представителей малого и среднего бизнеса ответили, что их доходы в виде субсидий были освобождены от налогообложения. </w:t>
      </w:r>
    </w:p>
    <w:p w14:paraId="0E269729" w14:textId="77777777" w:rsidR="00D06C43" w:rsidRPr="00C04BE2" w:rsidRDefault="00D06C43" w:rsidP="00BE60B7">
      <w:pPr>
        <w:ind w:firstLine="709"/>
        <w:jc w:val="both"/>
        <w:rPr>
          <w:rFonts w:ascii="Garamond" w:eastAsiaTheme="minorHAnsi" w:hAnsi="Garamond"/>
          <w:b/>
          <w:bCs/>
          <w:i/>
          <w:iCs/>
          <w:sz w:val="28"/>
          <w:szCs w:val="28"/>
          <w:lang w:eastAsia="en-US"/>
        </w:rPr>
      </w:pPr>
      <w:r w:rsidRPr="00C04BE2">
        <w:rPr>
          <w:rFonts w:ascii="Garamond" w:eastAsiaTheme="minorHAnsi" w:hAnsi="Garamond"/>
          <w:sz w:val="28"/>
          <w:szCs w:val="28"/>
          <w:lang w:eastAsia="en-US"/>
        </w:rPr>
        <w:t xml:space="preserve">Мерой, которая была рассчитана на весь круг субъектов МСП, – снижением ставок страховых взносов – воспользовались уже 43,4% компаний. </w:t>
      </w:r>
    </w:p>
    <w:p w14:paraId="7981B9D0" w14:textId="77777777" w:rsidR="00D06C43" w:rsidRPr="00C04BE2" w:rsidRDefault="00D06C43" w:rsidP="00D06C43">
      <w:pPr>
        <w:contextualSpacing/>
        <w:jc w:val="both"/>
        <w:rPr>
          <w:rStyle w:val="af6"/>
          <w:rFonts w:ascii="Garamond" w:hAnsi="Garamond"/>
        </w:rPr>
      </w:pPr>
      <w:r w:rsidRPr="00C04BE2">
        <w:rPr>
          <w:rStyle w:val="af6"/>
          <w:rFonts w:ascii="Garamond" w:hAnsi="Garamond"/>
          <w:noProof/>
        </w:rPr>
        <w:drawing>
          <wp:inline distT="0" distB="0" distL="0" distR="0" wp14:anchorId="1727AE20" wp14:editId="684FB5FF">
            <wp:extent cx="5695950" cy="2247900"/>
            <wp:effectExtent l="19050" t="0" r="19050" b="0"/>
            <wp:docPr id="3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00C24A11" w14:textId="77777777" w:rsidR="00D06C43" w:rsidRPr="00C04BE2" w:rsidRDefault="00D06C43" w:rsidP="00BE60B7">
      <w:pPr>
        <w:ind w:firstLine="709"/>
        <w:jc w:val="both"/>
        <w:rPr>
          <w:rFonts w:ascii="Garamond" w:eastAsiaTheme="minorHAnsi" w:hAnsi="Garamond"/>
          <w:sz w:val="20"/>
          <w:szCs w:val="20"/>
          <w:lang w:eastAsia="en-US"/>
        </w:rPr>
      </w:pPr>
      <w:r w:rsidRPr="00C04BE2">
        <w:rPr>
          <w:rFonts w:ascii="Garamond" w:eastAsiaTheme="minorHAnsi" w:hAnsi="Garamond"/>
          <w:sz w:val="20"/>
          <w:szCs w:val="20"/>
          <w:lang w:eastAsia="en-US"/>
        </w:rPr>
        <w:t>Доли приведены к числу компаний-субъектов МСП</w:t>
      </w:r>
    </w:p>
    <w:p w14:paraId="38A01810" w14:textId="77777777" w:rsidR="00D06C43" w:rsidRPr="00C04BE2" w:rsidRDefault="00D06C43" w:rsidP="00BE60B7">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 xml:space="preserve">Организациям из отраслей, которые были признаны наиболее пострадавшими в условиях распространения новой коронавирусной инфекции, была предоставлена отсрочка / рассрочка уплаты налогов, авансовых платежей по налогам и страховым взносам. Только десятая часть опрошенных ответила, что пыталась применить на практике эту меру. </w:t>
      </w:r>
    </w:p>
    <w:p w14:paraId="70C7E5E4" w14:textId="77777777" w:rsidR="00D06C43" w:rsidRPr="00C04BE2" w:rsidRDefault="00D06C43" w:rsidP="00D06C43">
      <w:pPr>
        <w:contextualSpacing/>
        <w:jc w:val="both"/>
        <w:rPr>
          <w:rStyle w:val="af6"/>
          <w:rFonts w:ascii="Garamond" w:hAnsi="Garamond"/>
        </w:rPr>
      </w:pPr>
      <w:r w:rsidRPr="00C04BE2">
        <w:rPr>
          <w:rStyle w:val="af6"/>
          <w:rFonts w:ascii="Garamond" w:hAnsi="Garamond"/>
          <w:noProof/>
        </w:rPr>
        <w:lastRenderedPageBreak/>
        <w:t xml:space="preserve"> </w:t>
      </w:r>
      <w:r w:rsidRPr="00C04BE2">
        <w:rPr>
          <w:rStyle w:val="af6"/>
          <w:rFonts w:ascii="Garamond" w:hAnsi="Garamond"/>
          <w:noProof/>
        </w:rPr>
        <w:drawing>
          <wp:inline distT="0" distB="0" distL="0" distR="0" wp14:anchorId="5505F690" wp14:editId="60D0E6F9">
            <wp:extent cx="5743575" cy="1752600"/>
            <wp:effectExtent l="19050" t="0" r="9525" b="0"/>
            <wp:docPr id="204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3FCB5D74" w14:textId="77777777" w:rsidR="00D06C43" w:rsidRPr="00C04BE2" w:rsidRDefault="00D06C43" w:rsidP="00BE60B7">
      <w:pPr>
        <w:ind w:firstLine="709"/>
        <w:jc w:val="both"/>
        <w:rPr>
          <w:rFonts w:ascii="Garamond" w:eastAsiaTheme="minorHAnsi" w:hAnsi="Garamond"/>
          <w:bCs/>
          <w:i/>
          <w:iCs/>
          <w:sz w:val="28"/>
          <w:szCs w:val="28"/>
          <w:lang w:eastAsia="en-US"/>
        </w:rPr>
      </w:pPr>
    </w:p>
    <w:p w14:paraId="77CD0E45" w14:textId="77777777" w:rsidR="00D06C43" w:rsidRPr="00C04BE2" w:rsidRDefault="00D06C43" w:rsidP="0020330B">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Системообразующим предприятиям также была предоставлена возможность отсрочить уплату налогов, авансовых платежей по налогам. Отсрочку получили 5,4% компаний, участвующих в опросе.</w:t>
      </w:r>
    </w:p>
    <w:p w14:paraId="10A952D2" w14:textId="77777777" w:rsidR="00D06C43" w:rsidRPr="00C04BE2" w:rsidRDefault="00D06C43" w:rsidP="00D06C43">
      <w:pPr>
        <w:contextualSpacing/>
        <w:jc w:val="both"/>
        <w:rPr>
          <w:rStyle w:val="af6"/>
          <w:rFonts w:ascii="Garamond" w:hAnsi="Garamond"/>
        </w:rPr>
      </w:pPr>
      <w:r w:rsidRPr="00C04BE2">
        <w:rPr>
          <w:rStyle w:val="af6"/>
          <w:rFonts w:ascii="Garamond" w:hAnsi="Garamond"/>
          <w:noProof/>
        </w:rPr>
        <w:drawing>
          <wp:inline distT="0" distB="0" distL="0" distR="0" wp14:anchorId="4939D78A" wp14:editId="4B0EB75A">
            <wp:extent cx="5543550" cy="1371600"/>
            <wp:effectExtent l="19050" t="0" r="19050" b="0"/>
            <wp:docPr id="205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4ADB0F8A" w14:textId="77777777" w:rsidR="00D06C43" w:rsidRPr="00C04BE2" w:rsidRDefault="00D06C43" w:rsidP="00BE60B7">
      <w:pPr>
        <w:ind w:firstLine="709"/>
        <w:jc w:val="both"/>
        <w:rPr>
          <w:rFonts w:ascii="Garamond" w:eastAsiaTheme="minorHAnsi" w:hAnsi="Garamond"/>
          <w:b/>
          <w:sz w:val="28"/>
          <w:szCs w:val="28"/>
          <w:lang w:eastAsia="en-US"/>
        </w:rPr>
      </w:pPr>
    </w:p>
    <w:p w14:paraId="50F00563" w14:textId="77777777" w:rsidR="00D06C43" w:rsidRPr="00C04BE2" w:rsidRDefault="00D06C43" w:rsidP="0020330B">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Организациям, включённым в общий перечень системообразующих предприятий, но не получившим отсрочку по налогам, был задан дополнительный вопрос: по какой причине они не смогли воспользоваться этой мерой поддержки</w:t>
      </w:r>
      <w:r w:rsidRPr="00C04BE2">
        <w:rPr>
          <w:rFonts w:ascii="Garamond" w:eastAsiaTheme="minorHAnsi" w:hAnsi="Garamond"/>
          <w:sz w:val="28"/>
          <w:szCs w:val="28"/>
          <w:lang w:eastAsia="en-US"/>
        </w:rPr>
        <w:footnoteReference w:id="7"/>
      </w:r>
      <w:r w:rsidRPr="00C04BE2">
        <w:rPr>
          <w:rFonts w:ascii="Garamond" w:eastAsiaTheme="minorHAnsi" w:hAnsi="Garamond"/>
          <w:sz w:val="28"/>
          <w:szCs w:val="28"/>
          <w:lang w:eastAsia="en-US"/>
        </w:rPr>
        <w:t xml:space="preserve">? </w:t>
      </w:r>
    </w:p>
    <w:p w14:paraId="230B8228" w14:textId="77777777" w:rsidR="00D06C43" w:rsidRPr="00C04BE2" w:rsidRDefault="00D06C43" w:rsidP="0020330B">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 xml:space="preserve">Основными ограничениями стали: </w:t>
      </w:r>
    </w:p>
    <w:p w14:paraId="0B8CEE2F" w14:textId="77777777" w:rsidR="00D06C43" w:rsidRPr="00C04BE2" w:rsidRDefault="00D06C43" w:rsidP="0020330B">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 несоответствие дополнительным требованиям и критериям (а именно: снижение доходности; оптимизация расходов и анализ финансово-хозяйственной деятельности; доля участия иностранного капитала ниже 50%; наличие недоимки по платежам в бюджеты РФ, не превышающей 10000 рублей, а также отсутствие просроченной задолженности по возврату субсидий);</w:t>
      </w:r>
    </w:p>
    <w:p w14:paraId="389A36A6" w14:textId="77777777" w:rsidR="00D06C43" w:rsidRPr="00C04BE2" w:rsidRDefault="00D06C43" w:rsidP="0020330B">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 администрирование получения меры слишком трудозатратно для компании, выгоды от получения ниже;</w:t>
      </w:r>
    </w:p>
    <w:p w14:paraId="0F2F5347" w14:textId="77777777" w:rsidR="00D06C43" w:rsidRPr="00C04BE2" w:rsidRDefault="00D06C43" w:rsidP="0020330B">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 сложная процедура получения отсрочки.</w:t>
      </w:r>
    </w:p>
    <w:p w14:paraId="259A7D85" w14:textId="77777777" w:rsidR="00D06C43" w:rsidRPr="00C04BE2" w:rsidRDefault="00D06C43" w:rsidP="0020330B">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Так ответили примерно по трети всех респондентов.</w:t>
      </w:r>
    </w:p>
    <w:p w14:paraId="32CE3008" w14:textId="77777777" w:rsidR="00D06C43" w:rsidRPr="00C04BE2" w:rsidRDefault="00D06C43" w:rsidP="0020330B">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 xml:space="preserve">Ряд организаций столкнулся с коллизией – непонятно, могут ли они рассчитывать на поддержку, если речь идёт о холдинге или группе компаний. Получают ли отсрочку по налогам дочерние компании или вся группа/холдинг целиком? Данный вопрос недостаточно четко урегулирован в нормативных правовых актах. </w:t>
      </w:r>
    </w:p>
    <w:p w14:paraId="2B157F25" w14:textId="77777777" w:rsidR="00D06C43" w:rsidRPr="00C04BE2" w:rsidRDefault="00D06C43" w:rsidP="0020330B">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Некоторые системообразующие предприятия заявили, что соответствуют критериям получения отсрочки по налогам, но не получили поддержку.</w:t>
      </w:r>
      <w:r w:rsidRPr="00C04BE2" w:rsidDel="008F4143">
        <w:rPr>
          <w:rFonts w:ascii="Garamond" w:eastAsiaTheme="minorHAnsi" w:hAnsi="Garamond"/>
          <w:sz w:val="28"/>
          <w:szCs w:val="28"/>
          <w:lang w:eastAsia="en-US"/>
        </w:rPr>
        <w:t xml:space="preserve"> </w:t>
      </w:r>
      <w:r w:rsidRPr="00C04BE2">
        <w:rPr>
          <w:rFonts w:ascii="Garamond" w:eastAsiaTheme="minorHAnsi" w:hAnsi="Garamond"/>
          <w:sz w:val="28"/>
          <w:szCs w:val="28"/>
          <w:lang w:eastAsia="en-US"/>
        </w:rPr>
        <w:t xml:space="preserve">Предприятия дополнительно отметили, что отсрочка не предусмотрена для </w:t>
      </w:r>
      <w:r w:rsidRPr="00C04BE2">
        <w:rPr>
          <w:rFonts w:ascii="Garamond" w:eastAsiaTheme="minorHAnsi" w:hAnsi="Garamond"/>
          <w:sz w:val="28"/>
          <w:szCs w:val="28"/>
          <w:lang w:eastAsia="en-US"/>
        </w:rPr>
        <w:lastRenderedPageBreak/>
        <w:t>уплаты страховых взносов, НДС, НДПИ, НДФЛ, на которые приходятся основные платежи.</w:t>
      </w:r>
    </w:p>
    <w:p w14:paraId="72BB78EB" w14:textId="77777777" w:rsidR="00D06C43" w:rsidRPr="00C04BE2" w:rsidRDefault="00D06C43" w:rsidP="0020330B">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В одном случае заявка-вопрос о предоставлении поддержки рассматривался в Минпромторге России слишком долго.</w:t>
      </w:r>
    </w:p>
    <w:p w14:paraId="1D1ABE58" w14:textId="77777777" w:rsidR="00D06C43" w:rsidRPr="00C04BE2" w:rsidRDefault="00D06C43" w:rsidP="0020330B">
      <w:pPr>
        <w:ind w:firstLine="708"/>
        <w:jc w:val="both"/>
        <w:rPr>
          <w:rFonts w:ascii="Garamond" w:eastAsiaTheme="minorHAnsi" w:hAnsi="Garamond"/>
          <w:sz w:val="28"/>
          <w:szCs w:val="28"/>
          <w:lang w:eastAsia="en-US"/>
        </w:rPr>
      </w:pPr>
    </w:p>
    <w:p w14:paraId="2604E9E5" w14:textId="77777777" w:rsidR="00D06C43" w:rsidRPr="00C04BE2" w:rsidRDefault="00D06C43" w:rsidP="0020330B">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Только 13,6% респондентов ответили, что не воспользовались ни одной из перечисленных мер. За одной мерой из списка обратились 16,9% компаний. Чаще всего компании пользовались двумя-тремя мерами: совокупная доля составила 44,2%. Более четырёх мер в фискальной сфере смогли применить 25,3% организаций.</w:t>
      </w:r>
    </w:p>
    <w:p w14:paraId="7AFDC372" w14:textId="77777777" w:rsidR="00BE60B7" w:rsidRPr="00C04BE2" w:rsidRDefault="00BE60B7" w:rsidP="0020330B">
      <w:pPr>
        <w:ind w:firstLine="708"/>
        <w:jc w:val="both"/>
        <w:rPr>
          <w:rFonts w:ascii="Garamond" w:eastAsiaTheme="minorHAnsi" w:hAnsi="Garamond"/>
          <w:sz w:val="28"/>
          <w:szCs w:val="28"/>
          <w:lang w:eastAsia="en-US"/>
        </w:rPr>
      </w:pPr>
    </w:p>
    <w:p w14:paraId="6348CEFB" w14:textId="31BDB36F" w:rsidR="00D06C43" w:rsidRPr="00C04BE2" w:rsidRDefault="00D06C43" w:rsidP="0020330B">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 xml:space="preserve">Респондентам </w:t>
      </w:r>
      <w:r w:rsidR="00BE60B7" w:rsidRPr="00C04BE2">
        <w:rPr>
          <w:rFonts w:ascii="Garamond" w:eastAsiaTheme="minorHAnsi" w:hAnsi="Garamond"/>
          <w:sz w:val="28"/>
          <w:szCs w:val="28"/>
          <w:lang w:eastAsia="en-US"/>
        </w:rPr>
        <w:t xml:space="preserve">также </w:t>
      </w:r>
      <w:r w:rsidRPr="00C04BE2">
        <w:rPr>
          <w:rFonts w:ascii="Garamond" w:eastAsiaTheme="minorHAnsi" w:hAnsi="Garamond"/>
          <w:sz w:val="28"/>
          <w:szCs w:val="28"/>
          <w:lang w:eastAsia="en-US"/>
        </w:rPr>
        <w:t xml:space="preserve">было предложено ответить, насколько государственная поддержка в фискальной сфере оправдала их ожидания. </w:t>
      </w:r>
    </w:p>
    <w:p w14:paraId="7B395CFB" w14:textId="77777777" w:rsidR="00D06C43" w:rsidRPr="00C04BE2" w:rsidRDefault="00D06C43" w:rsidP="0020330B">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Каждую из рассматриваемых мер компании оценили по шкале, где крайне негативный вариант был «мера не может помочь компании», а положительный – «мера полностью устраивает и содержательно, и по практике применения». Если участники опроса не готовы были согласиться ни с одним из этих утверждений, они могли выбрать промежуточные варианты:</w:t>
      </w:r>
    </w:p>
    <w:p w14:paraId="62B0F54E" w14:textId="77777777" w:rsidR="00D06C43" w:rsidRPr="00C04BE2" w:rsidRDefault="00D06C43" w:rsidP="0020330B">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 xml:space="preserve">мера может помочь компании, но компания не соответствует требованиям/критериям для её получения; </w:t>
      </w:r>
    </w:p>
    <w:p w14:paraId="39BF8F5F" w14:textId="77777777" w:rsidR="00D06C43" w:rsidRPr="00C04BE2" w:rsidRDefault="00D06C43" w:rsidP="0020330B">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мера может помочь компании, компания соответствует требованиям/критериям для её получения, но процедура применения слишком сложная и затраты на администрирование превышают выгоды;</w:t>
      </w:r>
    </w:p>
    <w:p w14:paraId="04EC07C8" w14:textId="77777777" w:rsidR="00D06C43" w:rsidRPr="00C04BE2" w:rsidRDefault="00D06C43" w:rsidP="0020330B">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мера может помочь компании, компания соответствует требованиям/критериям для её получения, процедуры адекватны и выгоды выше затрат на администрирование, однако есть ряд проблем с правоприменением (не все расходы учтены / «зашиты» внутри меры и т.д.).</w:t>
      </w:r>
    </w:p>
    <w:p w14:paraId="6DF33615" w14:textId="77777777" w:rsidR="00D06C43" w:rsidRPr="00C04BE2" w:rsidRDefault="00D06C43" w:rsidP="0020330B">
      <w:pPr>
        <w:ind w:firstLine="708"/>
        <w:jc w:val="both"/>
        <w:rPr>
          <w:rFonts w:ascii="Garamond" w:eastAsiaTheme="minorHAnsi" w:hAnsi="Garamond"/>
          <w:sz w:val="28"/>
          <w:szCs w:val="28"/>
          <w:lang w:eastAsia="en-US"/>
        </w:rPr>
      </w:pPr>
    </w:p>
    <w:p w14:paraId="266EA6D6" w14:textId="77777777" w:rsidR="00D06C43" w:rsidRPr="00C04BE2" w:rsidRDefault="00D06C43" w:rsidP="0020330B">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 xml:space="preserve">Оценки компаний, которые применяли на практике меры из списка, значимо отличаются от оценок организаций, указавших отрицательный ответ: они однозначно выше. </w:t>
      </w:r>
    </w:p>
    <w:p w14:paraId="7E032619" w14:textId="77777777" w:rsidR="00D06C43" w:rsidRPr="00C04BE2" w:rsidRDefault="00D06C43" w:rsidP="0020330B">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Наибольший интерес представляет распределение оценок, которые дали компании, обратившиеся и воспользовавшиеся поддержкой в текущих условиях.</w:t>
      </w:r>
    </w:p>
    <w:p w14:paraId="59D97C6D" w14:textId="77777777" w:rsidR="00D06C43" w:rsidRPr="00C04BE2" w:rsidRDefault="00D06C43" w:rsidP="0020330B">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На первое место они поставили «продление сроков ответов на налоговые требования» – и содержательно, и по практике применения мера устраивает 70,9% предприятий, воспользовавшихся отсрочкой. Крайне негативный вариант отметили только 14,6% организаций.</w:t>
      </w:r>
    </w:p>
    <w:p w14:paraId="07873871" w14:textId="77777777" w:rsidR="00D06C43" w:rsidRPr="00C04BE2" w:rsidRDefault="00D06C43" w:rsidP="0020330B">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 xml:space="preserve">«Учёт расходов на дезинсекцию помещений и приобретение приборов, лабораторного оборудования, спецодежды и других средств защиты» полностью устраивает более двух третей организаций. </w:t>
      </w:r>
    </w:p>
    <w:p w14:paraId="698D0E88" w14:textId="77777777" w:rsidR="00D06C43" w:rsidRPr="00C04BE2" w:rsidRDefault="00D06C43" w:rsidP="0020330B">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Примерно такую же долю положительных оценок набрала мера «продление сроков предоставления отчётности». В целом, административные меры поддержки оказались востребованы и высоко оценены бизнесом – даже выше, чем ряд мер, ориентированных на прямую финансовую помощь организациям; всё это говорит о значимости административных форм поддержки.</w:t>
      </w:r>
    </w:p>
    <w:p w14:paraId="63735C2F" w14:textId="77777777" w:rsidR="00D06C43" w:rsidRPr="00C04BE2" w:rsidRDefault="00D06C43" w:rsidP="0020330B">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lastRenderedPageBreak/>
        <w:t>Уже только половина компаний, воспользовавшихся учётом расходов на приобретение медицинских изделий согласно перечню и уплатой авансовых платежей по налогу на прибыль, исходя из фактической прибыли, оказались в итоге довольны мерами и по содержанию, и по практике применения. Пятая часть этих организаций выбрала крайне негативные оценки.</w:t>
      </w:r>
    </w:p>
    <w:p w14:paraId="4B843E60" w14:textId="77777777" w:rsidR="00D06C43" w:rsidRPr="00C04BE2" w:rsidRDefault="00D06C43" w:rsidP="00D06C43">
      <w:pPr>
        <w:jc w:val="both"/>
        <w:rPr>
          <w:rStyle w:val="af6"/>
          <w:rFonts w:ascii="Garamond" w:hAnsi="Garamond"/>
          <w:b w:val="0"/>
          <w:bCs w:val="0"/>
          <w:i w:val="0"/>
          <w:iCs w:val="0"/>
          <w:sz w:val="26"/>
          <w:szCs w:val="26"/>
        </w:rPr>
      </w:pPr>
      <w:r w:rsidRPr="00C04BE2">
        <w:rPr>
          <w:rStyle w:val="af6"/>
          <w:rFonts w:ascii="Garamond" w:hAnsi="Garamond"/>
          <w:b w:val="0"/>
          <w:bCs w:val="0"/>
          <w:i w:val="0"/>
          <w:iCs w:val="0"/>
          <w:noProof/>
          <w:sz w:val="26"/>
        </w:rPr>
        <w:drawing>
          <wp:inline distT="0" distB="0" distL="0" distR="0" wp14:anchorId="0E9CD8F5" wp14:editId="323BD9A4">
            <wp:extent cx="5962650" cy="2676525"/>
            <wp:effectExtent l="19050" t="0" r="19050" b="0"/>
            <wp:docPr id="205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2B59C770" w14:textId="77777777" w:rsidR="00D06C43" w:rsidRPr="00C04BE2" w:rsidRDefault="00D06C43" w:rsidP="0020330B">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Компании относительно редко отмечали промежуточные варианты внутри шкалы. На ответе «меры могут помочь компании, компания соответствует требованиям и критериям для их получения, процедуры адекватны и выгоды выше затрат на администрирование, однако есть ряд проблем с правоприменением (не все расходы учтены / «зашиты» внутри меры и т.д.)» остановились порядка десятой части респондентов, оценивая весь список универсальных мер. Единственное исключение – «Учёт расходов на приобретение медицинских изделий для диагностики (лечения) новой коронавирусной инфекции по перечню», здесь доля варианта достигает 18,8%. Возможно, перечень медицинских изделий кажется организациям недостаточным.</w:t>
      </w:r>
    </w:p>
    <w:p w14:paraId="2E44D002" w14:textId="77777777" w:rsidR="00D06C43" w:rsidRPr="00C04BE2" w:rsidRDefault="00D06C43" w:rsidP="0020330B">
      <w:pPr>
        <w:ind w:firstLine="708"/>
        <w:jc w:val="both"/>
        <w:rPr>
          <w:rFonts w:ascii="Garamond" w:eastAsiaTheme="minorHAnsi" w:hAnsi="Garamond"/>
          <w:sz w:val="28"/>
          <w:szCs w:val="28"/>
          <w:lang w:eastAsia="en-US"/>
        </w:rPr>
      </w:pPr>
    </w:p>
    <w:p w14:paraId="20EC98AC" w14:textId="77777777" w:rsidR="00D06C43" w:rsidRPr="00C04BE2" w:rsidRDefault="00D06C43" w:rsidP="0020330B">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 xml:space="preserve">Процедура применения меры «уплата авансовых платежей по налогу на прибыль, исходя из фактической прибыли» слишком сложная и затратная, по мнению 7,4% компаний. По остальным мерам из списка доля этой оценки не превышает 6%. </w:t>
      </w:r>
    </w:p>
    <w:p w14:paraId="2FA9BDF3" w14:textId="77777777" w:rsidR="00D06C43" w:rsidRPr="00C04BE2" w:rsidRDefault="00D06C43" w:rsidP="0020330B">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Ещё реже организации отвечали, что они не соответствовали требованиям и критериям предоставления поддержки.</w:t>
      </w:r>
    </w:p>
    <w:p w14:paraId="1DE8E759" w14:textId="77777777" w:rsidR="00D06C43" w:rsidRPr="00C04BE2" w:rsidRDefault="00D06C43" w:rsidP="00D06C43">
      <w:pPr>
        <w:jc w:val="both"/>
        <w:rPr>
          <w:rFonts w:ascii="Garamond" w:hAnsi="Garamond"/>
          <w:sz w:val="26"/>
          <w:szCs w:val="26"/>
        </w:rPr>
      </w:pPr>
      <w:r w:rsidRPr="00C04BE2">
        <w:rPr>
          <w:rFonts w:ascii="Garamond" w:hAnsi="Garamond"/>
          <w:sz w:val="26"/>
          <w:szCs w:val="26"/>
        </w:rPr>
        <w:lastRenderedPageBreak/>
        <w:t xml:space="preserve"> </w:t>
      </w:r>
      <w:r w:rsidRPr="00C04BE2">
        <w:rPr>
          <w:rFonts w:ascii="Garamond" w:hAnsi="Garamond"/>
          <w:noProof/>
          <w:sz w:val="26"/>
          <w:szCs w:val="26"/>
        </w:rPr>
        <w:drawing>
          <wp:inline distT="0" distB="0" distL="0" distR="0" wp14:anchorId="3D19299E" wp14:editId="095E5F5A">
            <wp:extent cx="5915025" cy="3200400"/>
            <wp:effectExtent l="19050" t="0" r="9525" b="0"/>
            <wp:docPr id="206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0B001388" w14:textId="77777777" w:rsidR="00D06C43" w:rsidRPr="00C04BE2" w:rsidRDefault="00D06C43" w:rsidP="0020330B">
      <w:pPr>
        <w:ind w:firstLine="708"/>
        <w:jc w:val="both"/>
        <w:rPr>
          <w:rFonts w:ascii="Garamond" w:eastAsiaTheme="minorHAnsi" w:hAnsi="Garamond"/>
          <w:sz w:val="28"/>
          <w:szCs w:val="28"/>
          <w:lang w:eastAsia="en-US"/>
        </w:rPr>
      </w:pPr>
    </w:p>
    <w:p w14:paraId="1CFA05DA" w14:textId="77777777" w:rsidR="00D06C43" w:rsidRPr="00C04BE2" w:rsidRDefault="00D06C43" w:rsidP="0020330B">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По группе компаний, не применивших на практике те или иные меры из списка, обобщённое распределение оценок таково: примерно половина респондентов выбрала крайне негативный ответ «мера не может помочь компании», около четверти заявили, меры могли бы помочь, однако организации не соответствуют требованиям и критериям предоставления поддержки.</w:t>
      </w:r>
    </w:p>
    <w:p w14:paraId="3EBF2D93" w14:textId="77777777" w:rsidR="00D06C43" w:rsidRPr="00C04BE2" w:rsidRDefault="00D06C43" w:rsidP="0020330B">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В 20% случаев участники опроса высоко оценили предложенные меры, хотя их компании не стали обращаться за ними.</w:t>
      </w:r>
    </w:p>
    <w:p w14:paraId="47442EC7" w14:textId="77777777" w:rsidR="00D06C43" w:rsidRPr="00C04BE2" w:rsidRDefault="00D06C43" w:rsidP="0020330B">
      <w:pPr>
        <w:ind w:firstLine="708"/>
        <w:jc w:val="both"/>
        <w:rPr>
          <w:rFonts w:ascii="Garamond" w:eastAsiaTheme="minorHAnsi" w:hAnsi="Garamond"/>
          <w:sz w:val="28"/>
          <w:szCs w:val="28"/>
          <w:lang w:eastAsia="en-US"/>
        </w:rPr>
      </w:pPr>
    </w:p>
    <w:p w14:paraId="1DC361FC" w14:textId="77777777" w:rsidR="00D06C43" w:rsidRPr="00C04BE2" w:rsidRDefault="00D06C43" w:rsidP="0020330B">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 xml:space="preserve">Согласно полученным результатам, мерами «продление сроков уплаты налогов, авансовых платежей по налогам и страховым взносам для субъектов МСП и «освобождение от налогообложения доходов, полученных субъектами МСП в виде субсидий» (обе меры применимы только к компаниям отраслей, наиболее пострадавших из-за распространения коронавируса) смогли воспользоваться очень ограниченное число малых и средних организаций. При этом они остались скорее недовольны своим опытом применения мер поддержки: треть указала крайне положительный ответ в первом случае и только 14,9% – во втором. </w:t>
      </w:r>
    </w:p>
    <w:p w14:paraId="6B92C448" w14:textId="77777777" w:rsidR="00D06C43" w:rsidRPr="00C04BE2" w:rsidRDefault="00D06C43" w:rsidP="0020330B">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Четверть компаний-субъектов МСП, попытавшихся получить отсрочку по налогам, в итоге не подходили под требуемые критерии, 33% из них считают, что эта мера не может помочь компании.</w:t>
      </w:r>
    </w:p>
    <w:p w14:paraId="7880DFC9" w14:textId="77777777" w:rsidR="00D06C43" w:rsidRPr="00C04BE2" w:rsidRDefault="00D06C43" w:rsidP="0020330B">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В случае меры «освобождение от налогов доходов, полученных субъектами МСП в виде субсидий» распределение оценок выглядит ещё хуже: 28,6% ответивших, что пытались получить эту меру, не подошли под заданные критерии и требования, 42,9% и вовсе остановились на крайне негативном ответе.</w:t>
      </w:r>
    </w:p>
    <w:p w14:paraId="031615F0" w14:textId="77777777" w:rsidR="00D06C43" w:rsidRPr="00C04BE2" w:rsidRDefault="00D06C43" w:rsidP="0020330B">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Порядка 70% малых и средних компаний, которые не применили на практике рассматриваемые меры, желали бы воспользоваться и отсрочкой по налогам, и освобождением от налогообложения доходов, полученных в виде субсидий, однако существующие требования и критерии ограничивают их возможности. Чуть более пятой части заявили, что рассматриваемые меры не могли бы им помочь.</w:t>
      </w:r>
    </w:p>
    <w:p w14:paraId="01544BAB" w14:textId="77777777" w:rsidR="00D06C43" w:rsidRPr="00C04BE2" w:rsidRDefault="00D06C43" w:rsidP="0020330B">
      <w:pPr>
        <w:ind w:firstLine="708"/>
        <w:jc w:val="both"/>
        <w:rPr>
          <w:rFonts w:ascii="Garamond" w:eastAsiaTheme="minorHAnsi" w:hAnsi="Garamond"/>
          <w:sz w:val="28"/>
          <w:szCs w:val="28"/>
          <w:lang w:eastAsia="en-US"/>
        </w:rPr>
      </w:pPr>
    </w:p>
    <w:p w14:paraId="19E78A6F" w14:textId="77777777" w:rsidR="00D06C43" w:rsidRPr="00C04BE2" w:rsidRDefault="00D06C43" w:rsidP="0020330B">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Последняя мера, предназначенная исключительно для субъектов МСП, – применение пониженных ставок страховых взносов – оказалась наиболее востребованной и полезной: она устроила и содержательно, и по практике применения 72,7% компаний, воспользовавшихся ею. Только 7,3% организаций выбрали крайне негативный ответ.</w:t>
      </w:r>
    </w:p>
    <w:p w14:paraId="62B68E59" w14:textId="77777777" w:rsidR="00D06C43" w:rsidRPr="00C04BE2" w:rsidRDefault="00D06C43" w:rsidP="0020330B">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Две трети субъектов МСП, не сумевших применить пониженные ставки при расчёте страховых взносов, ответили, что разработанная мера может им помочь, но они не подходят под критерии и требования. Четверть таких компаний не видит пользы от меры.</w:t>
      </w:r>
    </w:p>
    <w:p w14:paraId="107FC4BB" w14:textId="77777777" w:rsidR="00D06C43" w:rsidRPr="00C04BE2" w:rsidRDefault="00D06C43" w:rsidP="00D06C43">
      <w:pPr>
        <w:contextualSpacing/>
        <w:jc w:val="both"/>
        <w:rPr>
          <w:rFonts w:ascii="Garamond" w:hAnsi="Garamond"/>
          <w:sz w:val="26"/>
          <w:szCs w:val="26"/>
        </w:rPr>
      </w:pPr>
    </w:p>
    <w:p w14:paraId="10AB022B" w14:textId="77777777" w:rsidR="00D06C43" w:rsidRPr="00C04BE2" w:rsidRDefault="00D06C43" w:rsidP="00D06C43">
      <w:pPr>
        <w:contextualSpacing/>
        <w:jc w:val="both"/>
        <w:rPr>
          <w:rFonts w:ascii="Garamond" w:hAnsi="Garamond"/>
          <w:sz w:val="26"/>
          <w:szCs w:val="26"/>
        </w:rPr>
      </w:pPr>
      <w:r w:rsidRPr="00C04BE2">
        <w:rPr>
          <w:rFonts w:ascii="Garamond" w:hAnsi="Garamond"/>
          <w:noProof/>
          <w:sz w:val="26"/>
          <w:szCs w:val="26"/>
        </w:rPr>
        <w:drawing>
          <wp:inline distT="0" distB="0" distL="0" distR="0" wp14:anchorId="047CC814" wp14:editId="42146C93">
            <wp:extent cx="5940425" cy="2247900"/>
            <wp:effectExtent l="19050" t="0" r="22225" b="0"/>
            <wp:docPr id="2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0B7EE2FF" w14:textId="77777777" w:rsidR="00D06C43" w:rsidRPr="00C04BE2" w:rsidRDefault="00D06C43" w:rsidP="0020330B">
      <w:pPr>
        <w:ind w:firstLine="708"/>
        <w:jc w:val="both"/>
        <w:rPr>
          <w:rFonts w:ascii="Garamond" w:eastAsiaTheme="minorHAnsi" w:hAnsi="Garamond"/>
          <w:sz w:val="28"/>
          <w:szCs w:val="28"/>
          <w:lang w:eastAsia="en-US"/>
        </w:rPr>
      </w:pPr>
    </w:p>
    <w:p w14:paraId="1DD70D08" w14:textId="77777777" w:rsidR="00D06C43" w:rsidRPr="00C04BE2" w:rsidRDefault="00D06C43" w:rsidP="0020330B">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60,7% компаний, занятых в наиболее пострадавших отраслях и попытавшихся применить отсрочку по уплате налогов, авансовых платежей по налогам и страховым взносам, полностью устраивает предложенная мера. Десятая часть из них столкнулась с некоторыми проблемами правоприменения. Такая же доля организаций заявила, что мера могла бы им помочь, но компании в итоге не соответствуют требованиям и критериям для получения этого вида поддержки. Только 14,3% участников опроса, воспользовавшихся отсрочкой по налогам, выбрали крайне негативный ответ «мера не может помочь компании».</w:t>
      </w:r>
    </w:p>
    <w:p w14:paraId="5E1BAED1" w14:textId="77777777" w:rsidR="00D06C43" w:rsidRPr="00C04BE2" w:rsidRDefault="00D06C43" w:rsidP="0020330B">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Две трети организаций, не получивших эту меру, заинтересованы в отсрочке по налогам, однако они не могут обратиться за мерой из-за существующих требований и критериев.</w:t>
      </w:r>
    </w:p>
    <w:p w14:paraId="670E69A1" w14:textId="77777777" w:rsidR="00D06C43" w:rsidRPr="00C04BE2" w:rsidRDefault="00D06C43" w:rsidP="0020330B">
      <w:pPr>
        <w:ind w:firstLine="708"/>
        <w:jc w:val="both"/>
        <w:rPr>
          <w:rFonts w:ascii="Garamond" w:eastAsiaTheme="minorHAnsi" w:hAnsi="Garamond"/>
          <w:sz w:val="28"/>
          <w:szCs w:val="28"/>
          <w:lang w:eastAsia="en-US"/>
        </w:rPr>
      </w:pPr>
    </w:p>
    <w:p w14:paraId="2EF7404C" w14:textId="77777777" w:rsidR="00D06C43" w:rsidRPr="00C04BE2" w:rsidRDefault="00D06C43" w:rsidP="00D06C43">
      <w:pPr>
        <w:contextualSpacing/>
        <w:jc w:val="both"/>
        <w:rPr>
          <w:rFonts w:ascii="Garamond" w:hAnsi="Garamond"/>
          <w:sz w:val="26"/>
          <w:szCs w:val="26"/>
        </w:rPr>
      </w:pPr>
      <w:r w:rsidRPr="00C04BE2">
        <w:rPr>
          <w:rFonts w:ascii="Garamond" w:hAnsi="Garamond"/>
          <w:noProof/>
          <w:sz w:val="26"/>
          <w:szCs w:val="26"/>
        </w:rPr>
        <w:drawing>
          <wp:inline distT="0" distB="0" distL="0" distR="0" wp14:anchorId="24961DEB" wp14:editId="2E068408">
            <wp:extent cx="5940425" cy="1885950"/>
            <wp:effectExtent l="19050" t="0" r="22225" b="0"/>
            <wp:docPr id="2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5E6A7248" w14:textId="77777777" w:rsidR="00D06C43" w:rsidRPr="00C04BE2" w:rsidRDefault="00D06C43" w:rsidP="0020330B">
      <w:pPr>
        <w:ind w:firstLine="708"/>
        <w:jc w:val="both"/>
        <w:rPr>
          <w:rFonts w:ascii="Garamond" w:eastAsiaTheme="minorHAnsi" w:hAnsi="Garamond"/>
          <w:sz w:val="28"/>
          <w:szCs w:val="28"/>
          <w:lang w:eastAsia="en-US"/>
        </w:rPr>
      </w:pPr>
    </w:p>
    <w:p w14:paraId="34AF29B8" w14:textId="77777777" w:rsidR="00D06C43" w:rsidRPr="00C04BE2" w:rsidRDefault="00D06C43" w:rsidP="0020330B">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lastRenderedPageBreak/>
        <w:t xml:space="preserve">Получение отсрочки по налогам и авансовым платежам по налогам системообразующими предприятиями было относительно проблематичным, согласно результатам опроса. Хотя число системообразующих предприятий, попавших в выборку, невелико, из распределения оценок видно, что с равной вероятностью они выбирали и крайне негативный ответ, и крайне положительный, и промежуточные варианты «в итоге не соответствовали критериям и требованиям», «были некоторые проблемы с правоприменением меры». </w:t>
      </w:r>
    </w:p>
    <w:p w14:paraId="3EE05175" w14:textId="77777777" w:rsidR="00D06C43" w:rsidRPr="00C04BE2" w:rsidRDefault="00D06C43" w:rsidP="0020330B">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Опять же бОльшая часть респондентов, представляющих компании, которые не могли претендовать на получение этой отсрочки по налогам, – 58,4% – хотели бы её получить. Примерно четверть из них дала отрицательную оценку.</w:t>
      </w:r>
    </w:p>
    <w:p w14:paraId="3EA1D8A2" w14:textId="77777777" w:rsidR="00D06C43" w:rsidRPr="00C04BE2" w:rsidRDefault="00D06C43" w:rsidP="0020330B">
      <w:pPr>
        <w:ind w:firstLine="708"/>
        <w:jc w:val="both"/>
        <w:rPr>
          <w:rFonts w:ascii="Garamond" w:eastAsiaTheme="minorHAnsi" w:hAnsi="Garamond"/>
          <w:sz w:val="28"/>
          <w:szCs w:val="28"/>
          <w:lang w:eastAsia="en-US"/>
        </w:rPr>
      </w:pPr>
    </w:p>
    <w:p w14:paraId="4DB79B69" w14:textId="77777777" w:rsidR="00D06C43" w:rsidRPr="00C04BE2" w:rsidRDefault="00D06C43" w:rsidP="0020330B">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Правительством РФ и налоговыми органами власти было принято решение в наиболее острый период не проводить выездные проверки, проверки трансфертного образования, а также проверки соблюдения валютного законодательства. Также налоговые органы обязались не выносить решения по приостановлению операций по счетам налогоплательщиков, не налагать санкции за непредоставление сведений налоговым органам. Целью этих мер было помочь российскому бизнесу, снизив административную нагрузку.</w:t>
      </w:r>
    </w:p>
    <w:p w14:paraId="17D1E177" w14:textId="77777777" w:rsidR="00D06C43" w:rsidRPr="00C04BE2" w:rsidRDefault="00D06C43" w:rsidP="0020330B">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Решения и обязательства, в основном, соблюдались налоговыми и контрольными органами, согласно результатам опроса. Лишь в 3,1% компаний проходили проверки соблюдения валютного законодательства. Только в отношении 2% организаций были вынесены решения по приостановлению операций по счетам налогоплательщиков, и все эти компании были субъекты малого бизнеса. 1,5% респондентов указали, что в их компаниях проходили выездные проверки / проверки трансфертного ценообразования.</w:t>
      </w:r>
    </w:p>
    <w:p w14:paraId="69C34F4B" w14:textId="77777777" w:rsidR="00D06C43" w:rsidRPr="00C04BE2" w:rsidRDefault="00D06C43" w:rsidP="0020330B">
      <w:pPr>
        <w:ind w:firstLine="708"/>
        <w:jc w:val="both"/>
        <w:rPr>
          <w:rFonts w:ascii="Garamond" w:eastAsiaTheme="minorHAnsi" w:hAnsi="Garamond"/>
          <w:sz w:val="28"/>
          <w:szCs w:val="28"/>
          <w:lang w:eastAsia="en-US"/>
        </w:rPr>
      </w:pPr>
    </w:p>
    <w:p w14:paraId="04C5F1E0" w14:textId="77777777" w:rsidR="00D06C43" w:rsidRPr="00C04BE2" w:rsidRDefault="00D06C43" w:rsidP="0020330B">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Примерно половина участников опроса считает, что приостановление проверок и другие рассматриваемые меры очень помогают в текущих условиях пандемии. Десятая часть выбрала ответ «скорее помогают». С тем, что у этих мер средняя эффективность, согласились 17,4% компаний. Снижение административной нагрузки вряд ли помогает компаниям, по мнению 7,5% респондентов. Крайне негативный вариант «меры не оказывают никакого влияния на работу» отметили 16,5% организаций.</w:t>
      </w:r>
    </w:p>
    <w:p w14:paraId="38DCDAFE" w14:textId="77777777" w:rsidR="00D06C43" w:rsidRPr="00C04BE2" w:rsidRDefault="00D06C43" w:rsidP="00D06C43">
      <w:pPr>
        <w:contextualSpacing/>
        <w:jc w:val="both"/>
        <w:rPr>
          <w:rFonts w:ascii="Garamond" w:hAnsi="Garamond"/>
          <w:sz w:val="26"/>
          <w:szCs w:val="26"/>
        </w:rPr>
      </w:pPr>
      <w:r w:rsidRPr="00C04BE2">
        <w:rPr>
          <w:rFonts w:ascii="Garamond" w:hAnsi="Garamond"/>
          <w:noProof/>
          <w:sz w:val="26"/>
          <w:szCs w:val="26"/>
        </w:rPr>
        <w:lastRenderedPageBreak/>
        <w:drawing>
          <wp:inline distT="0" distB="0" distL="0" distR="0" wp14:anchorId="4B040192" wp14:editId="73BD0FA2">
            <wp:extent cx="5762625" cy="2457450"/>
            <wp:effectExtent l="19050" t="0" r="9525" b="0"/>
            <wp:docPr id="206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0BCA1A18" w14:textId="77777777" w:rsidR="00D06C43" w:rsidRPr="00C04BE2" w:rsidRDefault="00D06C43" w:rsidP="00D06C43">
      <w:pPr>
        <w:contextualSpacing/>
        <w:jc w:val="both"/>
        <w:rPr>
          <w:rFonts w:ascii="Garamond" w:hAnsi="Garamond"/>
          <w:sz w:val="26"/>
          <w:szCs w:val="26"/>
        </w:rPr>
      </w:pPr>
    </w:p>
    <w:p w14:paraId="451CB060" w14:textId="4A7E8D7A" w:rsidR="000F4AA3" w:rsidRPr="00C04BE2" w:rsidRDefault="0020330B" w:rsidP="00245707">
      <w:pPr>
        <w:pStyle w:val="1"/>
        <w:rPr>
          <w:rFonts w:ascii="Garamond" w:eastAsiaTheme="minorHAnsi" w:hAnsi="Garamond"/>
          <w:lang w:eastAsia="en-US"/>
        </w:rPr>
      </w:pPr>
      <w:bookmarkStart w:id="22" w:name="_Toc52745689"/>
      <w:r w:rsidRPr="00C04BE2">
        <w:rPr>
          <w:rFonts w:ascii="Garamond" w:eastAsiaTheme="minorHAnsi" w:hAnsi="Garamond"/>
          <w:lang w:eastAsia="en-US"/>
        </w:rPr>
        <w:t>Финансовая сфера</w:t>
      </w:r>
      <w:bookmarkEnd w:id="22"/>
    </w:p>
    <w:p w14:paraId="78A73E3E" w14:textId="3CDF0984" w:rsidR="000F4AA3" w:rsidRPr="00C04BE2" w:rsidRDefault="000F4AA3" w:rsidP="00460BFB">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 xml:space="preserve">В 2019 году </w:t>
      </w:r>
      <w:r w:rsidR="00C23BFF" w:rsidRPr="00C04BE2">
        <w:rPr>
          <w:rFonts w:ascii="Garamond" w:eastAsiaTheme="minorHAnsi" w:hAnsi="Garamond"/>
          <w:sz w:val="28"/>
          <w:szCs w:val="28"/>
          <w:lang w:eastAsia="en-US"/>
        </w:rPr>
        <w:t xml:space="preserve">Банк России </w:t>
      </w:r>
      <w:r w:rsidRPr="00C04BE2">
        <w:rPr>
          <w:rFonts w:ascii="Garamond" w:eastAsiaTheme="minorHAnsi" w:hAnsi="Garamond"/>
          <w:sz w:val="28"/>
          <w:szCs w:val="28"/>
          <w:lang w:eastAsia="en-US"/>
        </w:rPr>
        <w:t>постепенно снизил размер ключевой ставки с 7,75% до 6,25%</w:t>
      </w:r>
      <w:r w:rsidR="000F229F">
        <w:rPr>
          <w:rFonts w:ascii="Garamond" w:eastAsiaTheme="minorHAnsi" w:hAnsi="Garamond"/>
          <w:sz w:val="28"/>
          <w:szCs w:val="28"/>
          <w:lang w:eastAsia="en-US"/>
        </w:rPr>
        <w:t>, в 2020 году она постепенно сократилась до 4,25 %</w:t>
      </w:r>
      <w:r w:rsidRPr="00C04BE2">
        <w:rPr>
          <w:rFonts w:ascii="Garamond" w:eastAsiaTheme="minorHAnsi" w:hAnsi="Garamond"/>
          <w:sz w:val="28"/>
          <w:szCs w:val="28"/>
          <w:lang w:eastAsia="en-US"/>
        </w:rPr>
        <w:t xml:space="preserve">. Тем самым проблема с доступом к заёмным средствам теряет свою остроту. Согласно данным опроса РСПП, её назвали важной для бизнеса только 16% респондентов. </w:t>
      </w:r>
    </w:p>
    <w:p w14:paraId="74064B59" w14:textId="77777777" w:rsidR="0020330B" w:rsidRPr="00C04BE2" w:rsidRDefault="0020330B" w:rsidP="0020330B">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 xml:space="preserve">Большинство опрошенных компаний осведомлены о пакете финансовых мер, разработанном Правительством РФ и Центробанком РФ для поддержки бизнеса в кризисных условиях. </w:t>
      </w:r>
    </w:p>
    <w:p w14:paraId="308580DB" w14:textId="77777777" w:rsidR="0020330B" w:rsidRPr="00C04BE2" w:rsidRDefault="0020330B" w:rsidP="0020330B">
      <w:pPr>
        <w:rPr>
          <w:rFonts w:ascii="Garamond" w:hAnsi="Garamond"/>
          <w:lang w:val="en-US"/>
        </w:rPr>
      </w:pPr>
      <w:r w:rsidRPr="00C04BE2">
        <w:rPr>
          <w:rFonts w:ascii="Garamond" w:hAnsi="Garamond"/>
          <w:noProof/>
        </w:rPr>
        <w:drawing>
          <wp:inline distT="0" distB="0" distL="0" distR="0" wp14:anchorId="0E988BC2" wp14:editId="0D364E79">
            <wp:extent cx="5810250" cy="4572000"/>
            <wp:effectExtent l="19050" t="0" r="1905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0CAD1E37" w14:textId="77777777" w:rsidR="0020330B" w:rsidRPr="00C04BE2" w:rsidRDefault="0020330B" w:rsidP="0020330B">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В дальнейшем за 100% принято число компаний, осведомлённых о перечисленных мерах.</w:t>
      </w:r>
    </w:p>
    <w:p w14:paraId="686CD07C" w14:textId="77777777" w:rsidR="0020330B" w:rsidRPr="00C04BE2" w:rsidRDefault="0020330B" w:rsidP="0020330B">
      <w:pPr>
        <w:rPr>
          <w:rFonts w:ascii="Garamond" w:hAnsi="Garamond"/>
        </w:rPr>
      </w:pPr>
      <w:r w:rsidRPr="00C04BE2">
        <w:rPr>
          <w:rFonts w:ascii="Garamond" w:hAnsi="Garamond"/>
          <w:noProof/>
        </w:rPr>
        <w:lastRenderedPageBreak/>
        <w:drawing>
          <wp:inline distT="0" distB="0" distL="0" distR="0" wp14:anchorId="776D25E3" wp14:editId="31535C91">
            <wp:extent cx="5791200" cy="4352925"/>
            <wp:effectExtent l="19050" t="0" r="19050" b="0"/>
            <wp:docPr id="2050"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31872134" w14:textId="77777777" w:rsidR="0020330B" w:rsidRPr="00C04BE2" w:rsidRDefault="0020330B" w:rsidP="0020330B">
      <w:pPr>
        <w:jc w:val="both"/>
        <w:rPr>
          <w:rFonts w:ascii="Garamond" w:hAnsi="Garamond"/>
        </w:rPr>
      </w:pPr>
    </w:p>
    <w:p w14:paraId="2811A0E8" w14:textId="77777777" w:rsidR="0020330B" w:rsidRPr="00C04BE2" w:rsidRDefault="0020330B" w:rsidP="0020330B">
      <w:pPr>
        <w:jc w:val="both"/>
        <w:rPr>
          <w:rStyle w:val="af6"/>
          <w:rFonts w:ascii="Garamond" w:hAnsi="Garamond"/>
          <w:b w:val="0"/>
          <w:i w:val="0"/>
        </w:rPr>
      </w:pPr>
      <w:r w:rsidRPr="00C04BE2">
        <w:rPr>
          <w:rStyle w:val="af6"/>
          <w:rFonts w:ascii="Garamond" w:hAnsi="Garamond"/>
          <w:b w:val="0"/>
          <w:i w:val="0"/>
          <w:noProof/>
        </w:rPr>
        <w:drawing>
          <wp:inline distT="0" distB="0" distL="0" distR="0" wp14:anchorId="6612FE1D" wp14:editId="01AB9DC4">
            <wp:extent cx="5762625" cy="2457450"/>
            <wp:effectExtent l="19050" t="0" r="9525" b="0"/>
            <wp:docPr id="205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4756B607" w14:textId="77777777" w:rsidR="0020330B" w:rsidRPr="00C04BE2" w:rsidRDefault="0020330B" w:rsidP="0020330B">
      <w:pPr>
        <w:ind w:firstLine="708"/>
        <w:jc w:val="both"/>
        <w:rPr>
          <w:rFonts w:ascii="Garamond" w:eastAsiaTheme="minorHAnsi" w:hAnsi="Garamond"/>
          <w:sz w:val="28"/>
          <w:szCs w:val="28"/>
          <w:lang w:eastAsia="en-US"/>
        </w:rPr>
      </w:pPr>
    </w:p>
    <w:p w14:paraId="51B90A05" w14:textId="77777777" w:rsidR="0020330B" w:rsidRPr="00C04BE2" w:rsidRDefault="0020330B" w:rsidP="0020330B">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53,5% респондентов пропустили вопрос: «с какими проблемами и ограничениями сталкивается компания при попытке получить финансовые меры поддержки и продолжать деловую активность в текущих условиях (в период с 20 марта 2020)?». Они либо не сталкивались с какими-либо проблемами в своей деятельности, либо решили оставить вопрос без ответа.</w:t>
      </w:r>
    </w:p>
    <w:p w14:paraId="42C2544F" w14:textId="77777777" w:rsidR="0020330B" w:rsidRPr="00C04BE2" w:rsidRDefault="0020330B" w:rsidP="0020330B">
      <w:pPr>
        <w:ind w:firstLine="708"/>
        <w:jc w:val="both"/>
        <w:rPr>
          <w:rFonts w:ascii="Garamond" w:eastAsiaTheme="minorHAnsi" w:hAnsi="Garamond"/>
          <w:sz w:val="28"/>
          <w:szCs w:val="28"/>
          <w:lang w:eastAsia="en-US"/>
        </w:rPr>
      </w:pPr>
    </w:p>
    <w:p w14:paraId="34292328" w14:textId="77777777" w:rsidR="0020330B" w:rsidRPr="00C04BE2" w:rsidRDefault="0020330B" w:rsidP="0020330B">
      <w:pPr>
        <w:ind w:firstLine="708"/>
        <w:jc w:val="both"/>
        <w:rPr>
          <w:rFonts w:ascii="Garamond" w:eastAsiaTheme="minorHAnsi" w:hAnsi="Garamond"/>
          <w:sz w:val="28"/>
          <w:szCs w:val="28"/>
          <w:lang w:eastAsia="en-US"/>
        </w:rPr>
      </w:pPr>
      <w:r w:rsidRPr="00C04BE2">
        <w:rPr>
          <w:rFonts w:ascii="Garamond" w:eastAsiaTheme="minorHAnsi" w:hAnsi="Garamond"/>
          <w:sz w:val="28"/>
          <w:szCs w:val="28"/>
          <w:lang w:eastAsia="en-US"/>
        </w:rPr>
        <w:t>Среди компаний, отметивших какой-либо вариант, самой острой проблемой стала объективная невозможность выполнить нормативно определённые условия программы (например, требование о сохранении 100% численности персонала на длительный период и т.п.). Об этом заявили 65,6% участников опроса.</w:t>
      </w:r>
    </w:p>
    <w:p w14:paraId="293681CF" w14:textId="77777777" w:rsidR="0020330B" w:rsidRPr="00C04BE2" w:rsidRDefault="0020330B" w:rsidP="0020330B">
      <w:pPr>
        <w:jc w:val="center"/>
        <w:rPr>
          <w:rFonts w:ascii="Garamond" w:eastAsiaTheme="minorHAnsi" w:hAnsi="Garamond"/>
          <w:b/>
          <w:bCs/>
          <w:sz w:val="28"/>
          <w:szCs w:val="28"/>
          <w:lang w:eastAsia="en-US"/>
        </w:rPr>
      </w:pPr>
      <w:r w:rsidRPr="00C04BE2">
        <w:rPr>
          <w:rFonts w:ascii="Garamond" w:eastAsiaTheme="minorHAnsi" w:hAnsi="Garamond"/>
          <w:b/>
          <w:bCs/>
          <w:sz w:val="28"/>
          <w:szCs w:val="28"/>
          <w:lang w:eastAsia="en-US"/>
        </w:rPr>
        <w:lastRenderedPageBreak/>
        <w:t>Проблемы и ограничения, с которыми столкнулись компании при попытке получить финансовые меры поддержки</w:t>
      </w:r>
    </w:p>
    <w:p w14:paraId="2B1EB898" w14:textId="77777777" w:rsidR="0020330B" w:rsidRPr="00C04BE2" w:rsidRDefault="0020330B" w:rsidP="0020330B">
      <w:pPr>
        <w:jc w:val="both"/>
        <w:rPr>
          <w:rStyle w:val="af6"/>
          <w:rFonts w:ascii="Garamond" w:hAnsi="Garamond"/>
        </w:rPr>
      </w:pPr>
      <w:r w:rsidRPr="00C04BE2">
        <w:rPr>
          <w:rStyle w:val="af6"/>
          <w:rFonts w:ascii="Garamond" w:hAnsi="Garamond"/>
          <w:noProof/>
        </w:rPr>
        <w:drawing>
          <wp:inline distT="0" distB="0" distL="0" distR="0" wp14:anchorId="2FD02C04" wp14:editId="7EB78461">
            <wp:extent cx="5772150" cy="5486400"/>
            <wp:effectExtent l="0" t="0" r="0" b="0"/>
            <wp:docPr id="2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549C6341" w14:textId="77777777" w:rsidR="0020330B" w:rsidRPr="00C04BE2" w:rsidRDefault="0020330B" w:rsidP="0020330B">
      <w:pPr>
        <w:jc w:val="both"/>
        <w:rPr>
          <w:rFonts w:ascii="Garamond" w:hAnsi="Garamond"/>
        </w:rPr>
      </w:pPr>
      <w:r w:rsidRPr="00C04BE2">
        <w:rPr>
          <w:rFonts w:ascii="Garamond" w:hAnsi="Garamond"/>
        </w:rPr>
        <w:t>*Компании могли указать несколько вариантов ответа, поэтому совокупная доля не сводится к 100%.</w:t>
      </w:r>
    </w:p>
    <w:p w14:paraId="7F755B96" w14:textId="57DEDEF5" w:rsidR="000F229F" w:rsidRDefault="000F229F" w:rsidP="009C7A1E">
      <w:pPr>
        <w:jc w:val="center"/>
        <w:rPr>
          <w:rFonts w:ascii="Garamond" w:eastAsiaTheme="minorHAnsi" w:hAnsi="Garamond"/>
          <w:b/>
          <w:bCs/>
          <w:sz w:val="28"/>
          <w:szCs w:val="28"/>
          <w:lang w:eastAsia="en-US"/>
        </w:rPr>
      </w:pPr>
      <w:r>
        <w:rPr>
          <w:rFonts w:ascii="Garamond" w:eastAsiaTheme="minorHAnsi" w:hAnsi="Garamond"/>
          <w:b/>
          <w:bCs/>
          <w:sz w:val="28"/>
          <w:szCs w:val="28"/>
          <w:lang w:eastAsia="en-US"/>
        </w:rPr>
        <w:br w:type="page"/>
      </w:r>
    </w:p>
    <w:p w14:paraId="7BF31208" w14:textId="615E732C" w:rsidR="0020330B" w:rsidRPr="00C04BE2" w:rsidRDefault="0020330B" w:rsidP="009C7A1E">
      <w:pPr>
        <w:jc w:val="center"/>
        <w:rPr>
          <w:rFonts w:ascii="Garamond" w:eastAsiaTheme="minorHAnsi" w:hAnsi="Garamond"/>
          <w:b/>
          <w:bCs/>
          <w:sz w:val="28"/>
          <w:szCs w:val="28"/>
          <w:lang w:eastAsia="en-US"/>
        </w:rPr>
      </w:pPr>
      <w:r w:rsidRPr="00C04BE2">
        <w:rPr>
          <w:rFonts w:ascii="Garamond" w:eastAsiaTheme="minorHAnsi" w:hAnsi="Garamond"/>
          <w:b/>
          <w:bCs/>
          <w:sz w:val="28"/>
          <w:szCs w:val="28"/>
          <w:lang w:eastAsia="en-US"/>
        </w:rPr>
        <w:lastRenderedPageBreak/>
        <w:t>Дополнительные финансовые меры, которые необходимы российскому бизнесу</w:t>
      </w:r>
    </w:p>
    <w:p w14:paraId="3707BC23" w14:textId="77777777" w:rsidR="0020330B" w:rsidRPr="00C04BE2" w:rsidRDefault="0020330B" w:rsidP="0020330B">
      <w:pPr>
        <w:jc w:val="both"/>
        <w:rPr>
          <w:rStyle w:val="af6"/>
          <w:rFonts w:ascii="Garamond" w:hAnsi="Garamond"/>
        </w:rPr>
      </w:pPr>
      <w:r w:rsidRPr="00C04BE2">
        <w:rPr>
          <w:rStyle w:val="af6"/>
          <w:rFonts w:ascii="Garamond" w:hAnsi="Garamond"/>
          <w:noProof/>
        </w:rPr>
        <w:drawing>
          <wp:inline distT="0" distB="0" distL="0" distR="0" wp14:anchorId="2CA9A72B" wp14:editId="421ED658">
            <wp:extent cx="5772150" cy="4832350"/>
            <wp:effectExtent l="0" t="0" r="0" b="6350"/>
            <wp:docPr id="205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3EC94EAD" w14:textId="77777777" w:rsidR="0020330B" w:rsidRPr="00C04BE2" w:rsidRDefault="0020330B" w:rsidP="0020330B">
      <w:pPr>
        <w:jc w:val="both"/>
        <w:rPr>
          <w:rFonts w:ascii="Garamond" w:hAnsi="Garamond"/>
        </w:rPr>
      </w:pPr>
      <w:r w:rsidRPr="00C04BE2">
        <w:rPr>
          <w:rFonts w:ascii="Garamond" w:hAnsi="Garamond"/>
        </w:rPr>
        <w:t>*Компании могли указать несколько вариантов ответа, поэтому совокупная доля не сводится к 100%.</w:t>
      </w:r>
    </w:p>
    <w:p w14:paraId="5DD1E687" w14:textId="77777777" w:rsidR="00C319DE" w:rsidRPr="00C04BE2" w:rsidRDefault="00C319DE" w:rsidP="00C319DE">
      <w:pPr>
        <w:jc w:val="both"/>
        <w:rPr>
          <w:rFonts w:ascii="Garamond" w:eastAsiaTheme="minorHAnsi" w:hAnsi="Garamond"/>
          <w:b/>
          <w:sz w:val="28"/>
          <w:szCs w:val="28"/>
          <w:lang w:eastAsia="en-US"/>
        </w:rPr>
      </w:pPr>
    </w:p>
    <w:p w14:paraId="5885BA42" w14:textId="64F86956" w:rsidR="000F4AA3" w:rsidRPr="00C04BE2" w:rsidRDefault="000F229F" w:rsidP="00245707">
      <w:pPr>
        <w:pStyle w:val="1"/>
        <w:rPr>
          <w:rFonts w:ascii="Garamond" w:hAnsi="Garamond"/>
        </w:rPr>
      </w:pPr>
      <w:bookmarkStart w:id="23" w:name="_Toc52745690"/>
      <w:r>
        <w:rPr>
          <w:rFonts w:ascii="Garamond" w:hAnsi="Garamond"/>
        </w:rPr>
        <w:t>Ц</w:t>
      </w:r>
      <w:r w:rsidR="000F4AA3" w:rsidRPr="00C04BE2">
        <w:rPr>
          <w:rFonts w:ascii="Garamond" w:hAnsi="Garamond"/>
        </w:rPr>
        <w:t>ифровизация</w:t>
      </w:r>
      <w:bookmarkEnd w:id="23"/>
    </w:p>
    <w:p w14:paraId="2CA16699" w14:textId="77777777" w:rsidR="00C319DE" w:rsidRPr="00C04BE2" w:rsidRDefault="00C319DE" w:rsidP="00C319DE">
      <w:pPr>
        <w:ind w:firstLine="709"/>
        <w:jc w:val="both"/>
        <w:rPr>
          <w:rFonts w:ascii="Garamond" w:eastAsiaTheme="minorHAnsi" w:hAnsi="Garamond"/>
          <w:sz w:val="28"/>
          <w:szCs w:val="28"/>
          <w:lang w:eastAsia="en-US"/>
        </w:rPr>
      </w:pPr>
    </w:p>
    <w:p w14:paraId="46E9B3A1" w14:textId="77777777" w:rsidR="000F4AA3" w:rsidRPr="00C04BE2" w:rsidRDefault="000F4AA3" w:rsidP="00245707">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 xml:space="preserve">В 29,3% организаций принята и действует стратегия цифрового развития (или эти компании реализуют проекты в сфере цифровизации). </w:t>
      </w:r>
    </w:p>
    <w:p w14:paraId="0E9CFC3C" w14:textId="7308C576" w:rsidR="000F4AA3" w:rsidRPr="00C04BE2" w:rsidRDefault="000F4AA3" w:rsidP="00245707">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Только десятая часть респондентов ответила, что ни один технологический процесс в компании не автоматизирован. В половине случаев автоматизированы отдельные технологические процессы, у 37,1% предприятий уровень автоматизации выше и затрагивает уже несколько взаимосвязанных технологических процессов. Все функции изготовления, контроля и управления производством выполнятся автоматически (автоматический цех, завод) только в 1,9% компаний.</w:t>
      </w:r>
      <w:r w:rsidR="005A1A07">
        <w:rPr>
          <w:rFonts w:ascii="Garamond" w:eastAsiaTheme="minorHAnsi" w:hAnsi="Garamond"/>
          <w:sz w:val="28"/>
          <w:szCs w:val="28"/>
          <w:lang w:eastAsia="en-US"/>
        </w:rPr>
        <w:t xml:space="preserve"> Уровень автоматизации стал критичен именно в 2020 году, но уже не с точки зрения конкурентоспособности, а возможности функционирования компании в период наиболее острых ограничений.</w:t>
      </w:r>
    </w:p>
    <w:p w14:paraId="37854DFC" w14:textId="46BEE353" w:rsidR="000F4AA3" w:rsidRDefault="000F4AA3" w:rsidP="00245707">
      <w:pPr>
        <w:ind w:firstLine="709"/>
        <w:jc w:val="both"/>
        <w:rPr>
          <w:rFonts w:ascii="Garamond" w:eastAsiaTheme="minorHAnsi" w:hAnsi="Garamond"/>
          <w:sz w:val="28"/>
          <w:szCs w:val="28"/>
          <w:lang w:eastAsia="en-US"/>
        </w:rPr>
      </w:pPr>
    </w:p>
    <w:p w14:paraId="2423C6C3" w14:textId="0B8CF7FE" w:rsidR="005A1A07" w:rsidRDefault="005A1A07" w:rsidP="00245707">
      <w:pPr>
        <w:ind w:firstLine="709"/>
        <w:jc w:val="both"/>
        <w:rPr>
          <w:rFonts w:ascii="Garamond" w:eastAsiaTheme="minorHAnsi" w:hAnsi="Garamond"/>
          <w:sz w:val="28"/>
          <w:szCs w:val="28"/>
          <w:lang w:eastAsia="en-US"/>
        </w:rPr>
      </w:pPr>
    </w:p>
    <w:p w14:paraId="3A1273E3" w14:textId="70F4902C" w:rsidR="005A1A07" w:rsidRDefault="005A1A07" w:rsidP="00245707">
      <w:pPr>
        <w:ind w:firstLine="709"/>
        <w:jc w:val="both"/>
        <w:rPr>
          <w:rFonts w:ascii="Garamond" w:eastAsiaTheme="minorHAnsi" w:hAnsi="Garamond"/>
          <w:sz w:val="28"/>
          <w:szCs w:val="28"/>
          <w:lang w:eastAsia="en-US"/>
        </w:rPr>
      </w:pPr>
    </w:p>
    <w:p w14:paraId="714BD77A" w14:textId="059647F4" w:rsidR="005A1A07" w:rsidRDefault="005A1A07" w:rsidP="00245707">
      <w:pPr>
        <w:ind w:firstLine="709"/>
        <w:jc w:val="both"/>
        <w:rPr>
          <w:rFonts w:ascii="Garamond" w:eastAsiaTheme="minorHAnsi" w:hAnsi="Garamond"/>
          <w:sz w:val="28"/>
          <w:szCs w:val="28"/>
          <w:lang w:eastAsia="en-US"/>
        </w:rPr>
      </w:pPr>
    </w:p>
    <w:p w14:paraId="100D7B44" w14:textId="77777777" w:rsidR="00C319DE" w:rsidRPr="00C04BE2" w:rsidRDefault="00C319DE" w:rsidP="00C319DE">
      <w:pPr>
        <w:jc w:val="center"/>
        <w:rPr>
          <w:rFonts w:ascii="Garamond" w:eastAsiaTheme="minorHAnsi" w:hAnsi="Garamond"/>
          <w:b/>
          <w:bCs/>
          <w:sz w:val="28"/>
          <w:szCs w:val="28"/>
          <w:lang w:eastAsia="en-US"/>
        </w:rPr>
      </w:pPr>
      <w:r w:rsidRPr="00C04BE2">
        <w:rPr>
          <w:rFonts w:ascii="Garamond" w:eastAsiaTheme="minorHAnsi" w:hAnsi="Garamond"/>
          <w:b/>
          <w:bCs/>
          <w:sz w:val="28"/>
          <w:szCs w:val="28"/>
          <w:lang w:eastAsia="en-US"/>
        </w:rPr>
        <w:lastRenderedPageBreak/>
        <w:t>Оценка уровня автоматизации производственных процессов, %</w:t>
      </w:r>
    </w:p>
    <w:p w14:paraId="703E9473" w14:textId="77777777" w:rsidR="00C319DE" w:rsidRPr="00C04BE2" w:rsidRDefault="00C319DE" w:rsidP="00C319DE">
      <w:pPr>
        <w:spacing w:line="360" w:lineRule="auto"/>
        <w:rPr>
          <w:rFonts w:ascii="Garamond" w:eastAsiaTheme="minorHAnsi" w:hAnsi="Garamond"/>
          <w:i/>
          <w:lang w:eastAsia="en-US"/>
        </w:rPr>
      </w:pPr>
      <w:r w:rsidRPr="00C04BE2">
        <w:rPr>
          <w:rFonts w:ascii="Garamond" w:hAnsi="Garamond"/>
          <w:bCs/>
          <w:noProof/>
        </w:rPr>
        <w:drawing>
          <wp:inline distT="0" distB="0" distL="0" distR="0" wp14:anchorId="27DDA8C2" wp14:editId="7D9FF5A9">
            <wp:extent cx="5944511" cy="2371642"/>
            <wp:effectExtent l="0" t="0" r="18415" b="10160"/>
            <wp:docPr id="95"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4BE2">
        <w:rPr>
          <w:rFonts w:ascii="Garamond" w:eastAsiaTheme="minorHAnsi" w:hAnsi="Garamond"/>
          <w:i/>
          <w:lang w:eastAsia="en-US"/>
        </w:rPr>
        <w:t>Анкеты респондентов, пропустивших этот вопрос, исключены из анализа.</w:t>
      </w:r>
    </w:p>
    <w:p w14:paraId="2BD1FB30" w14:textId="77777777" w:rsidR="000F4AA3" w:rsidRPr="00C04BE2" w:rsidRDefault="000F4AA3" w:rsidP="00245707">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Специальные программные средства</w:t>
      </w:r>
      <w:r w:rsidRPr="00C04BE2">
        <w:rPr>
          <w:rStyle w:val="a8"/>
          <w:rFonts w:ascii="Garamond" w:eastAsiaTheme="minorHAnsi" w:hAnsi="Garamond"/>
          <w:sz w:val="28"/>
          <w:szCs w:val="28"/>
          <w:lang w:eastAsia="en-US"/>
        </w:rPr>
        <w:footnoteReference w:id="8"/>
      </w:r>
      <w:r w:rsidRPr="00C04BE2">
        <w:rPr>
          <w:rFonts w:ascii="Garamond" w:eastAsiaTheme="minorHAnsi" w:hAnsi="Garamond"/>
          <w:sz w:val="28"/>
          <w:szCs w:val="28"/>
          <w:lang w:eastAsia="en-US"/>
        </w:rPr>
        <w:t xml:space="preserve"> применяют почти все опрошенные компании. 6,9% пропустили вопрос. Чаще всего для нужд предприятий используется широкий набор различного ПО – с различным функционалом.</w:t>
      </w:r>
    </w:p>
    <w:p w14:paraId="319E1A35" w14:textId="77777777" w:rsidR="000F4AA3" w:rsidRPr="00C04BE2" w:rsidRDefault="000F4AA3" w:rsidP="00245707">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Чуть менее трети респондентов выбрали из предложенного списка, в котором было приведено 14 возможных категорий ПО, 5-7 вариантов. Около 20% назвали 3-4 вида специализированного программного обеспечения. Чуть меньшая доля организаций – 17,8% – использует более 9 различных категорий программных средств. Набор 16% компаний насчитывает 8-9 вариантов специализированного ПО. Десятая часть остановилась на двух ответах и 6,7% – на одном.</w:t>
      </w:r>
    </w:p>
    <w:p w14:paraId="19603ED2" w14:textId="77777777" w:rsidR="000F4AA3" w:rsidRPr="00C04BE2" w:rsidRDefault="000F4AA3" w:rsidP="00245707">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 xml:space="preserve">Наиболее широко распространено применение систем электронного документооборота и программ для осуществления финансовых расчётов в электронном виде – они используются в двух третях компаний. Примерно с той же частотой встречаются электронные справочно-правовые системы, ПО для решения организационных, управленческих и экономических задач. </w:t>
      </w:r>
    </w:p>
    <w:p w14:paraId="1C56B06B" w14:textId="77777777" w:rsidR="000F4AA3" w:rsidRPr="00C04BE2" w:rsidRDefault="000F4AA3" w:rsidP="00245707">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 xml:space="preserve">В более чем половине компаний применяются специализированные программы для управления автоматизированным производством и/или отдельными техническими средствами и технологическими процессами. Столько же респондентов ответили, что используют ПО для проектирования. </w:t>
      </w:r>
    </w:p>
    <w:p w14:paraId="44BAC034" w14:textId="77777777" w:rsidR="000F4AA3" w:rsidRPr="00C04BE2" w:rsidRDefault="000F4AA3" w:rsidP="00245707">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Управление закупками и продажами товаров / работ / услуг происходит через специальные программные средства в 49,1% компаний.</w:t>
      </w:r>
      <w:r w:rsidR="00C60C99" w:rsidRPr="00C04BE2">
        <w:rPr>
          <w:rFonts w:ascii="Garamond" w:eastAsiaTheme="minorHAnsi" w:hAnsi="Garamond"/>
          <w:sz w:val="28"/>
          <w:szCs w:val="28"/>
          <w:lang w:eastAsia="en-US"/>
        </w:rPr>
        <w:t xml:space="preserve"> </w:t>
      </w:r>
      <w:r w:rsidRPr="00C04BE2">
        <w:rPr>
          <w:rFonts w:ascii="Garamond" w:eastAsiaTheme="minorHAnsi" w:hAnsi="Garamond"/>
          <w:sz w:val="28"/>
          <w:szCs w:val="28"/>
          <w:lang w:val="en-US" w:eastAsia="en-US"/>
        </w:rPr>
        <w:t>CRM</w:t>
      </w:r>
      <w:r w:rsidRPr="00C04BE2">
        <w:rPr>
          <w:rFonts w:ascii="Garamond" w:eastAsiaTheme="minorHAnsi" w:hAnsi="Garamond"/>
          <w:sz w:val="28"/>
          <w:szCs w:val="28"/>
          <w:lang w:eastAsia="en-US"/>
        </w:rPr>
        <w:t xml:space="preserve">, </w:t>
      </w:r>
      <w:r w:rsidRPr="00C04BE2">
        <w:rPr>
          <w:rFonts w:ascii="Garamond" w:eastAsiaTheme="minorHAnsi" w:hAnsi="Garamond"/>
          <w:sz w:val="28"/>
          <w:szCs w:val="28"/>
          <w:lang w:val="en-US" w:eastAsia="en-US"/>
        </w:rPr>
        <w:t>ERP</w:t>
      </w:r>
      <w:r w:rsidRPr="00C04BE2">
        <w:rPr>
          <w:rFonts w:ascii="Garamond" w:eastAsiaTheme="minorHAnsi" w:hAnsi="Garamond"/>
          <w:sz w:val="28"/>
          <w:szCs w:val="28"/>
          <w:lang w:eastAsia="en-US"/>
        </w:rPr>
        <w:t xml:space="preserve">, </w:t>
      </w:r>
      <w:r w:rsidRPr="00C04BE2">
        <w:rPr>
          <w:rFonts w:ascii="Garamond" w:eastAsiaTheme="minorHAnsi" w:hAnsi="Garamond"/>
          <w:sz w:val="28"/>
          <w:szCs w:val="28"/>
          <w:lang w:val="en-US" w:eastAsia="en-US"/>
        </w:rPr>
        <w:t>SCM</w:t>
      </w:r>
      <w:r w:rsidRPr="00C04BE2">
        <w:rPr>
          <w:rFonts w:ascii="Garamond" w:eastAsiaTheme="minorHAnsi" w:hAnsi="Garamond"/>
          <w:sz w:val="28"/>
          <w:szCs w:val="28"/>
          <w:lang w:eastAsia="en-US"/>
        </w:rPr>
        <w:t xml:space="preserve"> системы распространены в 43,5% компаний.</w:t>
      </w:r>
      <w:r w:rsidR="00C60C99" w:rsidRPr="00C04BE2">
        <w:rPr>
          <w:rFonts w:ascii="Garamond" w:eastAsiaTheme="minorHAnsi" w:hAnsi="Garamond"/>
          <w:sz w:val="28"/>
          <w:szCs w:val="28"/>
          <w:lang w:eastAsia="en-US"/>
        </w:rPr>
        <w:t xml:space="preserve"> </w:t>
      </w:r>
      <w:r w:rsidRPr="00C04BE2">
        <w:rPr>
          <w:rFonts w:ascii="Garamond" w:eastAsiaTheme="minorHAnsi" w:hAnsi="Garamond"/>
          <w:sz w:val="28"/>
          <w:szCs w:val="28"/>
          <w:lang w:eastAsia="en-US"/>
        </w:rPr>
        <w:t>Треть предприятий отметили вариант «ПО для управления продажами товаров / работ / услуг».</w:t>
      </w:r>
    </w:p>
    <w:p w14:paraId="4B6C61BB" w14:textId="77777777" w:rsidR="000F4AA3" w:rsidRPr="00C04BE2" w:rsidRDefault="000F4AA3" w:rsidP="00245707">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Только в десятой части применяются технологии автоматической идентификации объектов (</w:t>
      </w:r>
      <w:r w:rsidRPr="00C04BE2">
        <w:rPr>
          <w:rFonts w:ascii="Garamond" w:eastAsiaTheme="minorHAnsi" w:hAnsi="Garamond"/>
          <w:sz w:val="28"/>
          <w:szCs w:val="28"/>
          <w:lang w:val="en-US" w:eastAsia="en-US"/>
        </w:rPr>
        <w:t>RFID</w:t>
      </w:r>
      <w:r w:rsidRPr="00C04BE2">
        <w:rPr>
          <w:rFonts w:ascii="Garamond" w:eastAsiaTheme="minorHAnsi" w:hAnsi="Garamond"/>
          <w:sz w:val="28"/>
          <w:szCs w:val="28"/>
          <w:lang w:eastAsia="en-US"/>
        </w:rPr>
        <w:t xml:space="preserve">), позволяющие посредством радиосигналов считывать или записывать данные, которые хранятся в </w:t>
      </w:r>
      <w:r w:rsidRPr="00C04BE2">
        <w:rPr>
          <w:rFonts w:ascii="Garamond" w:eastAsiaTheme="minorHAnsi" w:hAnsi="Garamond"/>
          <w:sz w:val="28"/>
          <w:szCs w:val="28"/>
          <w:lang w:val="en-US" w:eastAsia="en-US"/>
        </w:rPr>
        <w:t>RFID</w:t>
      </w:r>
      <w:r w:rsidRPr="00C04BE2">
        <w:rPr>
          <w:rFonts w:ascii="Garamond" w:eastAsiaTheme="minorHAnsi" w:hAnsi="Garamond"/>
          <w:sz w:val="28"/>
          <w:szCs w:val="28"/>
          <w:lang w:eastAsia="en-US"/>
        </w:rPr>
        <w:t xml:space="preserve">-метках. </w:t>
      </w:r>
    </w:p>
    <w:p w14:paraId="17EE30C8" w14:textId="77777777" w:rsidR="000F4AA3" w:rsidRPr="00C04BE2" w:rsidRDefault="000F4AA3" w:rsidP="00245707">
      <w:pPr>
        <w:ind w:firstLine="709"/>
        <w:jc w:val="both"/>
        <w:rPr>
          <w:rFonts w:ascii="Garamond" w:eastAsiaTheme="minorHAnsi" w:hAnsi="Garamond"/>
          <w:sz w:val="28"/>
          <w:szCs w:val="28"/>
          <w:lang w:eastAsia="en-US"/>
        </w:rPr>
      </w:pPr>
    </w:p>
    <w:p w14:paraId="27D22713" w14:textId="77777777" w:rsidR="00C319DE" w:rsidRPr="00C04BE2" w:rsidRDefault="00C319DE" w:rsidP="00C319DE">
      <w:pPr>
        <w:jc w:val="center"/>
        <w:rPr>
          <w:rFonts w:ascii="Garamond" w:eastAsiaTheme="minorHAnsi" w:hAnsi="Garamond"/>
          <w:b/>
          <w:bCs/>
          <w:sz w:val="28"/>
          <w:szCs w:val="28"/>
          <w:lang w:eastAsia="en-US"/>
        </w:rPr>
      </w:pPr>
      <w:r w:rsidRPr="00C04BE2">
        <w:rPr>
          <w:rFonts w:ascii="Garamond" w:eastAsiaTheme="minorHAnsi" w:hAnsi="Garamond"/>
          <w:b/>
          <w:bCs/>
          <w:sz w:val="28"/>
          <w:szCs w:val="28"/>
          <w:lang w:eastAsia="en-US"/>
        </w:rPr>
        <w:lastRenderedPageBreak/>
        <w:t>Использование специальных программных средств российскими компаниями, %</w:t>
      </w:r>
    </w:p>
    <w:p w14:paraId="4431C324" w14:textId="77777777" w:rsidR="00C319DE" w:rsidRPr="00C04BE2" w:rsidRDefault="00C319DE" w:rsidP="00C319DE">
      <w:pPr>
        <w:rPr>
          <w:rFonts w:ascii="Garamond" w:eastAsiaTheme="minorHAnsi" w:hAnsi="Garamond"/>
          <w:sz w:val="28"/>
          <w:szCs w:val="28"/>
          <w:lang w:eastAsia="en-US"/>
        </w:rPr>
      </w:pPr>
      <w:r w:rsidRPr="00C04BE2">
        <w:rPr>
          <w:rFonts w:ascii="Garamond" w:hAnsi="Garamond"/>
          <w:bCs/>
          <w:noProof/>
        </w:rPr>
        <w:drawing>
          <wp:inline distT="0" distB="0" distL="0" distR="0" wp14:anchorId="7CA056C4" wp14:editId="2E2D9F81">
            <wp:extent cx="5943600" cy="4870280"/>
            <wp:effectExtent l="0" t="0" r="0" b="6985"/>
            <wp:docPr id="9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4418219B" w14:textId="77777777" w:rsidR="00C319DE" w:rsidRPr="00C04BE2" w:rsidRDefault="00C319DE" w:rsidP="00C319DE">
      <w:pPr>
        <w:jc w:val="both"/>
        <w:rPr>
          <w:rFonts w:ascii="Garamond" w:eastAsiaTheme="minorHAnsi" w:hAnsi="Garamond"/>
          <w:i/>
          <w:lang w:eastAsia="en-US"/>
        </w:rPr>
      </w:pPr>
      <w:r w:rsidRPr="00C04BE2">
        <w:rPr>
          <w:rFonts w:ascii="Garamond" w:eastAsiaTheme="minorHAnsi" w:hAnsi="Garamond"/>
          <w:i/>
          <w:lang w:eastAsia="en-US"/>
        </w:rPr>
        <w:t>Данные приведены без учёта доли «нет ответа». Вопрос предполагал возможность множественного выбора ответов, поэтому общее число ответов не сводится к 100%.</w:t>
      </w:r>
    </w:p>
    <w:p w14:paraId="6CCE15DE" w14:textId="77777777" w:rsidR="000F4AA3" w:rsidRPr="00C04BE2" w:rsidRDefault="000F4AA3" w:rsidP="00245707">
      <w:pPr>
        <w:ind w:firstLine="709"/>
        <w:jc w:val="both"/>
        <w:rPr>
          <w:rFonts w:ascii="Garamond" w:eastAsiaTheme="minorHAnsi" w:hAnsi="Garamond"/>
          <w:sz w:val="28"/>
          <w:szCs w:val="28"/>
          <w:lang w:eastAsia="en-US"/>
        </w:rPr>
      </w:pPr>
    </w:p>
    <w:p w14:paraId="3929C854" w14:textId="77777777" w:rsidR="000F4AA3" w:rsidRPr="00C04BE2" w:rsidRDefault="000F4AA3" w:rsidP="00245707">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 xml:space="preserve">Если компания использует только одно специализированное программное средство, то с высокой вероятностью это будет либо система электронного документооборота, либо </w:t>
      </w:r>
      <w:r w:rsidRPr="00C04BE2">
        <w:rPr>
          <w:rFonts w:ascii="Garamond" w:eastAsiaTheme="minorHAnsi" w:hAnsi="Garamond"/>
          <w:sz w:val="28"/>
          <w:szCs w:val="28"/>
          <w:lang w:val="en-US" w:eastAsia="en-US"/>
        </w:rPr>
        <w:t>CRM</w:t>
      </w:r>
      <w:r w:rsidRPr="00C04BE2">
        <w:rPr>
          <w:rFonts w:ascii="Garamond" w:eastAsiaTheme="minorHAnsi" w:hAnsi="Garamond"/>
          <w:sz w:val="28"/>
          <w:szCs w:val="28"/>
          <w:lang w:eastAsia="en-US"/>
        </w:rPr>
        <w:t xml:space="preserve">, </w:t>
      </w:r>
      <w:r w:rsidRPr="00C04BE2">
        <w:rPr>
          <w:rFonts w:ascii="Garamond" w:eastAsiaTheme="minorHAnsi" w:hAnsi="Garamond"/>
          <w:sz w:val="28"/>
          <w:szCs w:val="28"/>
          <w:lang w:val="en-US" w:eastAsia="en-US"/>
        </w:rPr>
        <w:t>ERP</w:t>
      </w:r>
      <w:r w:rsidRPr="00C04BE2">
        <w:rPr>
          <w:rFonts w:ascii="Garamond" w:eastAsiaTheme="minorHAnsi" w:hAnsi="Garamond"/>
          <w:sz w:val="28"/>
          <w:szCs w:val="28"/>
          <w:lang w:eastAsia="en-US"/>
        </w:rPr>
        <w:t xml:space="preserve">, </w:t>
      </w:r>
      <w:r w:rsidRPr="00C04BE2">
        <w:rPr>
          <w:rFonts w:ascii="Garamond" w:eastAsiaTheme="minorHAnsi" w:hAnsi="Garamond"/>
          <w:sz w:val="28"/>
          <w:szCs w:val="28"/>
          <w:lang w:val="en-US" w:eastAsia="en-US"/>
        </w:rPr>
        <w:t>SCM</w:t>
      </w:r>
      <w:r w:rsidRPr="00C04BE2">
        <w:rPr>
          <w:rFonts w:ascii="Garamond" w:eastAsiaTheme="minorHAnsi" w:hAnsi="Garamond"/>
          <w:sz w:val="28"/>
          <w:szCs w:val="28"/>
          <w:lang w:eastAsia="en-US"/>
        </w:rPr>
        <w:t xml:space="preserve"> система. Специальные программы для финансовых расчётов в этих компаниях мало распространены.</w:t>
      </w:r>
    </w:p>
    <w:p w14:paraId="12F720E6" w14:textId="77777777" w:rsidR="000F4AA3" w:rsidRPr="00C04BE2" w:rsidRDefault="000F4AA3" w:rsidP="00245707">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 xml:space="preserve">Организации, в которых разработаны два вида специализированных ПО, чаще всего отмечали варианты «программы для электронного документооборота» в сочетании с «ПО для управления автоматизированным производством или технологическими процессами» и/или «ПО для проектирования». </w:t>
      </w:r>
    </w:p>
    <w:p w14:paraId="2DB5DDFD" w14:textId="77777777" w:rsidR="000F4AA3" w:rsidRPr="00C04BE2" w:rsidRDefault="000F4AA3" w:rsidP="00245707">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Доля ответов «программные средства для осуществления финансовых расчётов» и «электронные справочно-правовые системы» начинает значимо расти у тех респондентов, кто отметил уже 3-4 категории ПО.</w:t>
      </w:r>
    </w:p>
    <w:p w14:paraId="351202DC" w14:textId="77777777" w:rsidR="000F4AA3" w:rsidRPr="00C04BE2" w:rsidRDefault="000F4AA3" w:rsidP="00245707">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 xml:space="preserve">Если рассматривать множество компаний, в которых разработаны и применяются более 5 различных видов программных средств, то они почти обязательно используют: системы электронного документооборота, программы для осуществления финансовых расчётов, электронные справочно-правовые системы, программы для решения организационных, управленческих и экономических задач, программы для управления автоматизированным </w:t>
      </w:r>
      <w:r w:rsidRPr="00C04BE2">
        <w:rPr>
          <w:rFonts w:ascii="Garamond" w:eastAsiaTheme="minorHAnsi" w:hAnsi="Garamond"/>
          <w:sz w:val="28"/>
          <w:szCs w:val="28"/>
          <w:lang w:eastAsia="en-US"/>
        </w:rPr>
        <w:lastRenderedPageBreak/>
        <w:t>производством, программы для проектирования, ПО для управления закупками и продажами и ПО для предоставления к базам данных через глобальные информационные сети.</w:t>
      </w:r>
    </w:p>
    <w:p w14:paraId="0F04847F" w14:textId="77777777" w:rsidR="000F4AA3" w:rsidRPr="00C04BE2" w:rsidRDefault="000F4AA3" w:rsidP="00245707">
      <w:pPr>
        <w:ind w:firstLine="709"/>
        <w:jc w:val="both"/>
        <w:rPr>
          <w:rFonts w:ascii="Garamond" w:eastAsiaTheme="minorHAnsi" w:hAnsi="Garamond"/>
          <w:sz w:val="28"/>
          <w:szCs w:val="28"/>
          <w:lang w:eastAsia="en-US"/>
        </w:rPr>
      </w:pPr>
    </w:p>
    <w:p w14:paraId="24FE8F69" w14:textId="77777777" w:rsidR="000F4AA3" w:rsidRPr="00C04BE2" w:rsidRDefault="000F4AA3" w:rsidP="00245707">
      <w:pPr>
        <w:pStyle w:val="1"/>
        <w:rPr>
          <w:rFonts w:ascii="Garamond" w:hAnsi="Garamond"/>
        </w:rPr>
      </w:pPr>
      <w:bookmarkStart w:id="24" w:name="_Toc52745691"/>
      <w:r w:rsidRPr="00C04BE2">
        <w:rPr>
          <w:rFonts w:ascii="Garamond" w:hAnsi="Garamond"/>
        </w:rPr>
        <w:t>Взгляд в будущее</w:t>
      </w:r>
      <w:bookmarkEnd w:id="24"/>
    </w:p>
    <w:p w14:paraId="5C9C2C52" w14:textId="4B54A06E" w:rsidR="0099001E" w:rsidRPr="00C04BE2" w:rsidRDefault="0099001E" w:rsidP="0083719D">
      <w:pPr>
        <w:jc w:val="both"/>
        <w:rPr>
          <w:rFonts w:ascii="Garamond" w:eastAsiaTheme="minorHAnsi" w:hAnsi="Garamond"/>
          <w:i/>
          <w:lang w:eastAsia="en-US"/>
        </w:rPr>
      </w:pPr>
    </w:p>
    <w:p w14:paraId="229D1033" w14:textId="77777777" w:rsidR="0099001E" w:rsidRPr="00C04BE2" w:rsidRDefault="0099001E" w:rsidP="006D3908">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 xml:space="preserve">План бесперебойного функционирования бизнеса в условиях пандемии Covid-19 принят и действует в 55,3% организаций. </w:t>
      </w:r>
    </w:p>
    <w:p w14:paraId="7E834752" w14:textId="77777777" w:rsidR="0099001E" w:rsidRPr="00C04BE2" w:rsidRDefault="0099001E" w:rsidP="006D3908">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В два раза отличается доля положительных ответов у частных компаний и организаций с государственным участием. Плана бесперебойного функционирования бизнеса придерживаются 88,7% компаний с госучастием.</w:t>
      </w:r>
    </w:p>
    <w:p w14:paraId="0D5409FB" w14:textId="22BDA37E" w:rsidR="0099001E" w:rsidRPr="00C04BE2" w:rsidRDefault="0099001E" w:rsidP="006D3908">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 xml:space="preserve">Крупные компании в большинстве случаев – в 81,8% – руководствуются в своей деятельности планом бесперебойного функционирования в текущих условиях. Менее трети субъектов малого бизнеса ответили так же. 57,5% компаний среднего размера действует согласно разработанному плану по обеспечению бесперебойной деятельности. </w:t>
      </w:r>
    </w:p>
    <w:p w14:paraId="6C0F98F4" w14:textId="77777777" w:rsidR="0099001E" w:rsidRPr="00C04BE2" w:rsidRDefault="0099001E" w:rsidP="0099001E">
      <w:pPr>
        <w:jc w:val="both"/>
        <w:rPr>
          <w:rFonts w:ascii="Garamond" w:hAnsi="Garamond"/>
          <w:sz w:val="26"/>
          <w:szCs w:val="26"/>
        </w:rPr>
      </w:pPr>
      <w:r w:rsidRPr="00C04BE2">
        <w:rPr>
          <w:rFonts w:ascii="Garamond" w:hAnsi="Garamond"/>
          <w:noProof/>
          <w:sz w:val="26"/>
          <w:szCs w:val="26"/>
        </w:rPr>
        <w:drawing>
          <wp:inline distT="0" distB="0" distL="0" distR="0" wp14:anchorId="19C006E8" wp14:editId="76D5B890">
            <wp:extent cx="5760720" cy="1571625"/>
            <wp:effectExtent l="19050" t="0" r="11430" b="0"/>
            <wp:docPr id="7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089B75A7" w14:textId="4EFD4B67" w:rsidR="0099001E" w:rsidRPr="00C04BE2" w:rsidRDefault="0099001E" w:rsidP="0083719D">
      <w:pPr>
        <w:jc w:val="both"/>
        <w:rPr>
          <w:rFonts w:ascii="Garamond" w:eastAsiaTheme="minorHAnsi" w:hAnsi="Garamond"/>
          <w:i/>
          <w:lang w:eastAsia="en-US"/>
        </w:rPr>
      </w:pPr>
    </w:p>
    <w:p w14:paraId="07973AB5" w14:textId="51567011" w:rsidR="0099001E" w:rsidRPr="00C04BE2" w:rsidRDefault="006D3908" w:rsidP="006D3908">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 xml:space="preserve">В апреле </w:t>
      </w:r>
      <w:r w:rsidR="0099001E" w:rsidRPr="00C04BE2">
        <w:rPr>
          <w:rFonts w:ascii="Garamond" w:eastAsiaTheme="minorHAnsi" w:hAnsi="Garamond"/>
          <w:sz w:val="28"/>
          <w:szCs w:val="28"/>
          <w:lang w:eastAsia="en-US"/>
        </w:rPr>
        <w:t>чуть более четверти организаций (26,2%)</w:t>
      </w:r>
      <w:r w:rsidRPr="00C04BE2">
        <w:rPr>
          <w:rFonts w:ascii="Garamond" w:eastAsiaTheme="minorHAnsi" w:hAnsi="Garamond"/>
          <w:sz w:val="28"/>
          <w:szCs w:val="28"/>
          <w:lang w:eastAsia="en-US"/>
        </w:rPr>
        <w:t xml:space="preserve"> полагали, что</w:t>
      </w:r>
      <w:r w:rsidR="0099001E" w:rsidRPr="00C04BE2">
        <w:rPr>
          <w:rFonts w:ascii="Garamond" w:eastAsiaTheme="minorHAnsi" w:hAnsi="Garamond"/>
          <w:sz w:val="28"/>
          <w:szCs w:val="28"/>
          <w:lang w:eastAsia="en-US"/>
        </w:rPr>
        <w:t xml:space="preserve"> для полного восстановления деятельности им понадобится от 31 до 90 дней. Пятая часть опрошенных рассчитывает на более короткие сроки – от недели до месяца работы.</w:t>
      </w:r>
      <w:r w:rsidRPr="00C04BE2">
        <w:rPr>
          <w:rFonts w:ascii="Garamond" w:eastAsiaTheme="minorHAnsi" w:hAnsi="Garamond"/>
          <w:sz w:val="28"/>
          <w:szCs w:val="28"/>
          <w:lang w:eastAsia="en-US"/>
        </w:rPr>
        <w:t xml:space="preserve"> </w:t>
      </w:r>
      <w:r w:rsidR="0099001E" w:rsidRPr="00C04BE2">
        <w:rPr>
          <w:rFonts w:ascii="Garamond" w:eastAsiaTheme="minorHAnsi" w:hAnsi="Garamond"/>
          <w:sz w:val="28"/>
          <w:szCs w:val="28"/>
          <w:lang w:eastAsia="en-US"/>
        </w:rPr>
        <w:t xml:space="preserve">Примерно равные доли набрали варианты – «от 91 до 180 дней» и «свыше полугода». </w:t>
      </w:r>
    </w:p>
    <w:p w14:paraId="4FB3E647" w14:textId="5F22FD0E" w:rsidR="0099001E" w:rsidRPr="00C04BE2" w:rsidRDefault="0099001E" w:rsidP="006D3908">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7,5% респондентов рассматривают возможность временного или окончательного закрытия компании.</w:t>
      </w:r>
    </w:p>
    <w:p w14:paraId="71EB8358" w14:textId="77777777" w:rsidR="006D3908" w:rsidRPr="00C04BE2" w:rsidRDefault="006D3908" w:rsidP="006D3908">
      <w:pPr>
        <w:jc w:val="both"/>
        <w:rPr>
          <w:rFonts w:ascii="Garamond" w:hAnsi="Garamond"/>
          <w:sz w:val="26"/>
          <w:szCs w:val="26"/>
        </w:rPr>
      </w:pPr>
      <w:r w:rsidRPr="00C04BE2">
        <w:rPr>
          <w:rFonts w:ascii="Garamond" w:hAnsi="Garamond"/>
          <w:noProof/>
          <w:sz w:val="26"/>
          <w:szCs w:val="26"/>
        </w:rPr>
        <w:drawing>
          <wp:inline distT="0" distB="0" distL="0" distR="0" wp14:anchorId="731ABFC0" wp14:editId="643B2175">
            <wp:extent cx="5905500" cy="2066925"/>
            <wp:effectExtent l="19050" t="0" r="19050" b="0"/>
            <wp:docPr id="7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5C52DCBF" w14:textId="77777777" w:rsidR="006D3908" w:rsidRPr="00C04BE2" w:rsidRDefault="006D3908" w:rsidP="0099001E">
      <w:pPr>
        <w:jc w:val="both"/>
        <w:rPr>
          <w:rFonts w:ascii="Garamond" w:hAnsi="Garamond"/>
          <w:sz w:val="26"/>
          <w:szCs w:val="26"/>
        </w:rPr>
      </w:pPr>
    </w:p>
    <w:p w14:paraId="5DF3E6F3" w14:textId="678926E7" w:rsidR="006D3908" w:rsidRPr="00C04BE2" w:rsidRDefault="006D3908" w:rsidP="006D3908">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 xml:space="preserve">В августе оценки несколько изменились. Почти треть компаний, принявших участие в опросе, сохраняют оптимизм: по их словам, наиболее вероятный вариант развития событий для них – серьёзное улучшение позиций на рынке. </w:t>
      </w:r>
      <w:r w:rsidRPr="00C04BE2">
        <w:rPr>
          <w:rFonts w:ascii="Garamond" w:eastAsiaTheme="minorHAnsi" w:hAnsi="Garamond"/>
          <w:sz w:val="28"/>
          <w:szCs w:val="28"/>
          <w:lang w:eastAsia="en-US"/>
        </w:rPr>
        <w:lastRenderedPageBreak/>
        <w:t xml:space="preserve">Восстановить докризисный объём выручки не позднее, чем через три месяца, планируют 25,5% организаций. Четыре-шесть месяцев для восстановления понадобится 15,6% компаний. </w:t>
      </w:r>
    </w:p>
    <w:p w14:paraId="70EFE0F3" w14:textId="77777777" w:rsidR="006D3908" w:rsidRPr="00C04BE2" w:rsidRDefault="006D3908" w:rsidP="006D3908">
      <w:pPr>
        <w:ind w:firstLine="709"/>
        <w:jc w:val="both"/>
        <w:rPr>
          <w:rFonts w:ascii="Garamond" w:eastAsiaTheme="minorHAnsi" w:hAnsi="Garamond"/>
          <w:sz w:val="28"/>
          <w:szCs w:val="28"/>
          <w:lang w:eastAsia="en-US"/>
        </w:rPr>
      </w:pPr>
      <w:r w:rsidRPr="00C04BE2">
        <w:rPr>
          <w:rFonts w:ascii="Garamond" w:eastAsiaTheme="minorHAnsi" w:hAnsi="Garamond"/>
          <w:sz w:val="28"/>
          <w:szCs w:val="28"/>
          <w:lang w:eastAsia="en-US"/>
        </w:rPr>
        <w:t>Почти пятая часть (18,9%) рассчитывает на более длительные сроки – чтобы вернуться к докризисному объёму потребуется, по их прогнозам, более полугода. 3,7% респондентов заявили, что компания не сможет восстановить объёмы выручки или даже закроется.</w:t>
      </w:r>
    </w:p>
    <w:p w14:paraId="3D95C0F7" w14:textId="77777777" w:rsidR="006D3908" w:rsidRPr="00C04BE2" w:rsidRDefault="006D3908" w:rsidP="006D3908">
      <w:pPr>
        <w:jc w:val="both"/>
        <w:rPr>
          <w:rFonts w:ascii="Garamond" w:hAnsi="Garamond"/>
          <w:sz w:val="26"/>
          <w:szCs w:val="26"/>
        </w:rPr>
      </w:pPr>
    </w:p>
    <w:p w14:paraId="351892C8" w14:textId="77777777" w:rsidR="006D3908" w:rsidRPr="00C04BE2" w:rsidRDefault="006D3908" w:rsidP="006D3908">
      <w:pPr>
        <w:jc w:val="both"/>
        <w:rPr>
          <w:rFonts w:ascii="Garamond" w:hAnsi="Garamond"/>
          <w:sz w:val="26"/>
          <w:szCs w:val="26"/>
        </w:rPr>
      </w:pPr>
      <w:r w:rsidRPr="00C04BE2">
        <w:rPr>
          <w:rFonts w:ascii="Garamond" w:hAnsi="Garamond"/>
          <w:noProof/>
          <w:sz w:val="26"/>
          <w:szCs w:val="26"/>
        </w:rPr>
        <w:drawing>
          <wp:inline distT="0" distB="0" distL="0" distR="0" wp14:anchorId="772B4240" wp14:editId="51998BC2">
            <wp:extent cx="6096000" cy="2730500"/>
            <wp:effectExtent l="0" t="0" r="0" b="12700"/>
            <wp:docPr id="6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0AC3CE56" w14:textId="77777777" w:rsidR="006D3908" w:rsidRPr="00C04BE2" w:rsidRDefault="006D3908" w:rsidP="006D3908">
      <w:pPr>
        <w:jc w:val="both"/>
        <w:rPr>
          <w:rFonts w:ascii="Garamond" w:hAnsi="Garamond"/>
          <w:sz w:val="26"/>
          <w:szCs w:val="26"/>
        </w:rPr>
      </w:pPr>
    </w:p>
    <w:p w14:paraId="77B8F937" w14:textId="14CF7E41" w:rsidR="006D3908" w:rsidRPr="00C04BE2" w:rsidRDefault="006D3908" w:rsidP="0099001E">
      <w:pPr>
        <w:jc w:val="both"/>
        <w:rPr>
          <w:rFonts w:ascii="Garamond" w:hAnsi="Garamond"/>
          <w:sz w:val="26"/>
          <w:szCs w:val="26"/>
        </w:rPr>
      </w:pPr>
    </w:p>
    <w:p w14:paraId="0A83FC43" w14:textId="77777777" w:rsidR="0099001E" w:rsidRPr="00C04BE2" w:rsidRDefault="0099001E" w:rsidP="0083719D">
      <w:pPr>
        <w:jc w:val="both"/>
        <w:rPr>
          <w:rFonts w:ascii="Garamond" w:eastAsiaTheme="minorHAnsi" w:hAnsi="Garamond"/>
          <w:i/>
          <w:lang w:eastAsia="en-US"/>
        </w:rPr>
      </w:pPr>
    </w:p>
    <w:sectPr w:rsidR="0099001E" w:rsidRPr="00C04BE2" w:rsidSect="00E63828">
      <w:headerReference w:type="default" r:id="rId65"/>
      <w:pgSz w:w="11906" w:h="16838"/>
      <w:pgMar w:top="1134" w:right="1191" w:bottom="1134" w:left="119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F430E" w14:textId="77777777" w:rsidR="00C002A2" w:rsidRDefault="00C002A2" w:rsidP="00615DE3">
      <w:r>
        <w:separator/>
      </w:r>
    </w:p>
  </w:endnote>
  <w:endnote w:type="continuationSeparator" w:id="0">
    <w:p w14:paraId="410834E5" w14:textId="77777777" w:rsidR="00C002A2" w:rsidRDefault="00C002A2" w:rsidP="0061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605A3" w14:textId="77777777" w:rsidR="00C002A2" w:rsidRDefault="00C002A2" w:rsidP="00615DE3">
      <w:r>
        <w:separator/>
      </w:r>
    </w:p>
  </w:footnote>
  <w:footnote w:type="continuationSeparator" w:id="0">
    <w:p w14:paraId="2B678B09" w14:textId="77777777" w:rsidR="00C002A2" w:rsidRDefault="00C002A2" w:rsidP="00615DE3">
      <w:r>
        <w:continuationSeparator/>
      </w:r>
    </w:p>
  </w:footnote>
  <w:footnote w:id="1">
    <w:p w14:paraId="0930664A" w14:textId="762E2BB2" w:rsidR="00756B2F" w:rsidRDefault="00756B2F">
      <w:pPr>
        <w:pStyle w:val="a6"/>
      </w:pPr>
      <w:r>
        <w:rPr>
          <w:rStyle w:val="a8"/>
        </w:rPr>
        <w:footnoteRef/>
      </w:r>
      <w:r>
        <w:t xml:space="preserve"> Опрос «</w:t>
      </w:r>
      <w:r w:rsidRPr="00756B2F">
        <w:t>Социально-трудовые отношения в условиях пандемии новой коронавирусной инфекции</w:t>
      </w:r>
      <w:r>
        <w:t>», август 2020 г.</w:t>
      </w:r>
    </w:p>
  </w:footnote>
  <w:footnote w:id="2">
    <w:p w14:paraId="5B869ED3" w14:textId="5BB67F44" w:rsidR="00F32840" w:rsidRDefault="00F32840">
      <w:pPr>
        <w:pStyle w:val="a6"/>
      </w:pPr>
      <w:r>
        <w:rPr>
          <w:rStyle w:val="a8"/>
        </w:rPr>
        <w:footnoteRef/>
      </w:r>
      <w:r>
        <w:t xml:space="preserve"> Опрос РСПП</w:t>
      </w:r>
      <w:r w:rsidRPr="00F32840">
        <w:t xml:space="preserve"> совместно с МОТ</w:t>
      </w:r>
      <w:r>
        <w:t>, апрель 2020 г.</w:t>
      </w:r>
    </w:p>
  </w:footnote>
  <w:footnote w:id="3">
    <w:p w14:paraId="76CBC530" w14:textId="77777777" w:rsidR="007C6B07" w:rsidRDefault="007C6B07" w:rsidP="00236344">
      <w:pPr>
        <w:pStyle w:val="a6"/>
      </w:pPr>
      <w:r>
        <w:rPr>
          <w:rStyle w:val="a8"/>
        </w:rPr>
        <w:footnoteRef/>
      </w:r>
      <w:r>
        <w:t xml:space="preserve"> </w:t>
      </w:r>
      <w:r w:rsidRPr="00443849">
        <w:rPr>
          <w:rFonts w:ascii="Garamond" w:hAnsi="Garamond"/>
        </w:rPr>
        <w:t>Здесь и далее за 100% принято число респондентов, отметивших, что они получали хотя бы один вид государственной поддержки из предложенного списка.</w:t>
      </w:r>
    </w:p>
  </w:footnote>
  <w:footnote w:id="4">
    <w:p w14:paraId="0258A9B1" w14:textId="77777777" w:rsidR="007C6B07" w:rsidRDefault="007C6B07" w:rsidP="00236344">
      <w:pPr>
        <w:pStyle w:val="a6"/>
        <w:jc w:val="both"/>
      </w:pPr>
      <w:r>
        <w:rPr>
          <w:rStyle w:val="a8"/>
        </w:rPr>
        <w:footnoteRef/>
      </w:r>
      <w:r>
        <w:t xml:space="preserve"> </w:t>
      </w:r>
      <w:r w:rsidRPr="00443849">
        <w:rPr>
          <w:rFonts w:ascii="Garamond" w:hAnsi="Garamond"/>
        </w:rPr>
        <w:t>Оценка приведена по региональным ФРП, с которыми взаимодействовали опрошенные предприятия из различных регионов России.</w:t>
      </w:r>
    </w:p>
  </w:footnote>
  <w:footnote w:id="5">
    <w:p w14:paraId="1E72AA78" w14:textId="77777777" w:rsidR="007C6B07" w:rsidRDefault="007C6B07">
      <w:pPr>
        <w:pStyle w:val="a6"/>
      </w:pPr>
      <w:r>
        <w:rPr>
          <w:rStyle w:val="a8"/>
        </w:rPr>
        <w:footnoteRef/>
      </w:r>
      <w:r>
        <w:t xml:space="preserve"> </w:t>
      </w:r>
      <w:r w:rsidRPr="00443849">
        <w:rPr>
          <w:rFonts w:ascii="Garamond" w:hAnsi="Garamond"/>
        </w:rPr>
        <w:t>Здесь и далее доли приведены к числу респондентов, оказывавших помощь региональным властям и/или муниципалитетам в социальном развитии региона.</w:t>
      </w:r>
    </w:p>
  </w:footnote>
  <w:footnote w:id="6">
    <w:p w14:paraId="2CCA9036" w14:textId="32BDF412" w:rsidR="003138DA" w:rsidRDefault="003138DA">
      <w:pPr>
        <w:pStyle w:val="a6"/>
      </w:pPr>
      <w:r>
        <w:rPr>
          <w:rStyle w:val="a8"/>
        </w:rPr>
        <w:footnoteRef/>
      </w:r>
      <w:r>
        <w:t xml:space="preserve"> За 100% принято множество компаний, которые перевели сотрудников на удалённую (дистанционную) занятость.</w:t>
      </w:r>
    </w:p>
  </w:footnote>
  <w:footnote w:id="7">
    <w:p w14:paraId="238AE990" w14:textId="77777777" w:rsidR="007C6B07" w:rsidRPr="00C2677B" w:rsidRDefault="007C6B07" w:rsidP="00D06C43">
      <w:pPr>
        <w:pStyle w:val="a6"/>
      </w:pPr>
      <w:r>
        <w:rPr>
          <w:rStyle w:val="a8"/>
        </w:rPr>
        <w:footnoteRef/>
      </w:r>
      <w:r>
        <w:t xml:space="preserve"> </w:t>
      </w:r>
      <w:r w:rsidRPr="00F967E2">
        <w:rPr>
          <w:rFonts w:ascii="Garamond" w:hAnsi="Garamond"/>
        </w:rPr>
        <w:t>Также в варианты был включён ответ «отрасль не включена в наиболее пострадавшие». Из-за того, что все компании, принявшие участие в опросе, решили выбрать именно этот вариант, невозможно вычленить ответы именно системообразующих предп</w:t>
      </w:r>
      <w:r>
        <w:rPr>
          <w:rFonts w:ascii="Garamond" w:hAnsi="Garamond"/>
        </w:rPr>
        <w:t xml:space="preserve">риятий. </w:t>
      </w:r>
    </w:p>
  </w:footnote>
  <w:footnote w:id="8">
    <w:p w14:paraId="326E256B" w14:textId="77777777" w:rsidR="007C6B07" w:rsidRDefault="007C6B07" w:rsidP="000F4AA3">
      <w:pPr>
        <w:jc w:val="both"/>
      </w:pPr>
      <w:r>
        <w:rPr>
          <w:rStyle w:val="a8"/>
        </w:rPr>
        <w:footnoteRef/>
      </w:r>
      <w:r>
        <w:t xml:space="preserve"> </w:t>
      </w:r>
      <w:r w:rsidRPr="00443849">
        <w:rPr>
          <w:rFonts w:ascii="Garamond" w:hAnsi="Garamond"/>
          <w:sz w:val="20"/>
          <w:szCs w:val="20"/>
        </w:rPr>
        <w:t>НЕ учитываются программные средства общего назначения, такие как операционные системы, компиляторы, стандартные программные средства, используемые для решения определенного класса задач (например, текстовые или графические редакторы, электронные таблицы, системы управления базами данных), если на их основе не разработано специальное приложение, антивирусные программы, программы электронной почты и т.п.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9824026"/>
      <w:docPartObj>
        <w:docPartGallery w:val="Page Numbers (Top of Page)"/>
        <w:docPartUnique/>
      </w:docPartObj>
    </w:sdtPr>
    <w:sdtEndPr/>
    <w:sdtContent>
      <w:p w14:paraId="2EFB0EC3" w14:textId="77777777" w:rsidR="007C6B07" w:rsidRDefault="007C6B07" w:rsidP="00E63828">
        <w:pPr>
          <w:pStyle w:val="a9"/>
          <w:jc w:val="center"/>
        </w:pPr>
        <w:r>
          <w:fldChar w:fldCharType="begin"/>
        </w:r>
        <w:r>
          <w:instrText>PAGE   \* MERGEFORMAT</w:instrText>
        </w:r>
        <w:r>
          <w:fldChar w:fldCharType="separate"/>
        </w:r>
        <w:r>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16797"/>
    <w:multiLevelType w:val="hybridMultilevel"/>
    <w:tmpl w:val="CCD2328A"/>
    <w:lvl w:ilvl="0" w:tplc="6F1A9D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EE495C"/>
    <w:multiLevelType w:val="hybridMultilevel"/>
    <w:tmpl w:val="0EB221DC"/>
    <w:lvl w:ilvl="0" w:tplc="702836E4">
      <w:start w:val="1"/>
      <w:numFmt w:val="bullet"/>
      <w:lvlText w:val="•"/>
      <w:lvlJc w:val="left"/>
      <w:pPr>
        <w:tabs>
          <w:tab w:val="num" w:pos="720"/>
        </w:tabs>
        <w:ind w:left="720" w:hanging="360"/>
      </w:pPr>
      <w:rPr>
        <w:rFonts w:ascii="Arial" w:hAnsi="Arial" w:hint="default"/>
      </w:rPr>
    </w:lvl>
    <w:lvl w:ilvl="1" w:tplc="3CACFFC0" w:tentative="1">
      <w:start w:val="1"/>
      <w:numFmt w:val="bullet"/>
      <w:lvlText w:val="•"/>
      <w:lvlJc w:val="left"/>
      <w:pPr>
        <w:tabs>
          <w:tab w:val="num" w:pos="1440"/>
        </w:tabs>
        <w:ind w:left="1440" w:hanging="360"/>
      </w:pPr>
      <w:rPr>
        <w:rFonts w:ascii="Arial" w:hAnsi="Arial" w:hint="default"/>
      </w:rPr>
    </w:lvl>
    <w:lvl w:ilvl="2" w:tplc="34E6A3A4" w:tentative="1">
      <w:start w:val="1"/>
      <w:numFmt w:val="bullet"/>
      <w:lvlText w:val="•"/>
      <w:lvlJc w:val="left"/>
      <w:pPr>
        <w:tabs>
          <w:tab w:val="num" w:pos="2160"/>
        </w:tabs>
        <w:ind w:left="2160" w:hanging="360"/>
      </w:pPr>
      <w:rPr>
        <w:rFonts w:ascii="Arial" w:hAnsi="Arial" w:hint="default"/>
      </w:rPr>
    </w:lvl>
    <w:lvl w:ilvl="3" w:tplc="7CBEE7AC" w:tentative="1">
      <w:start w:val="1"/>
      <w:numFmt w:val="bullet"/>
      <w:lvlText w:val="•"/>
      <w:lvlJc w:val="left"/>
      <w:pPr>
        <w:tabs>
          <w:tab w:val="num" w:pos="2880"/>
        </w:tabs>
        <w:ind w:left="2880" w:hanging="360"/>
      </w:pPr>
      <w:rPr>
        <w:rFonts w:ascii="Arial" w:hAnsi="Arial" w:hint="default"/>
      </w:rPr>
    </w:lvl>
    <w:lvl w:ilvl="4" w:tplc="554A8F62" w:tentative="1">
      <w:start w:val="1"/>
      <w:numFmt w:val="bullet"/>
      <w:lvlText w:val="•"/>
      <w:lvlJc w:val="left"/>
      <w:pPr>
        <w:tabs>
          <w:tab w:val="num" w:pos="3600"/>
        </w:tabs>
        <w:ind w:left="3600" w:hanging="360"/>
      </w:pPr>
      <w:rPr>
        <w:rFonts w:ascii="Arial" w:hAnsi="Arial" w:hint="default"/>
      </w:rPr>
    </w:lvl>
    <w:lvl w:ilvl="5" w:tplc="41D86C2E" w:tentative="1">
      <w:start w:val="1"/>
      <w:numFmt w:val="bullet"/>
      <w:lvlText w:val="•"/>
      <w:lvlJc w:val="left"/>
      <w:pPr>
        <w:tabs>
          <w:tab w:val="num" w:pos="4320"/>
        </w:tabs>
        <w:ind w:left="4320" w:hanging="360"/>
      </w:pPr>
      <w:rPr>
        <w:rFonts w:ascii="Arial" w:hAnsi="Arial" w:hint="default"/>
      </w:rPr>
    </w:lvl>
    <w:lvl w:ilvl="6" w:tplc="A190820E" w:tentative="1">
      <w:start w:val="1"/>
      <w:numFmt w:val="bullet"/>
      <w:lvlText w:val="•"/>
      <w:lvlJc w:val="left"/>
      <w:pPr>
        <w:tabs>
          <w:tab w:val="num" w:pos="5040"/>
        </w:tabs>
        <w:ind w:left="5040" w:hanging="360"/>
      </w:pPr>
      <w:rPr>
        <w:rFonts w:ascii="Arial" w:hAnsi="Arial" w:hint="default"/>
      </w:rPr>
    </w:lvl>
    <w:lvl w:ilvl="7" w:tplc="CA0CA45A" w:tentative="1">
      <w:start w:val="1"/>
      <w:numFmt w:val="bullet"/>
      <w:lvlText w:val="•"/>
      <w:lvlJc w:val="left"/>
      <w:pPr>
        <w:tabs>
          <w:tab w:val="num" w:pos="5760"/>
        </w:tabs>
        <w:ind w:left="5760" w:hanging="360"/>
      </w:pPr>
      <w:rPr>
        <w:rFonts w:ascii="Arial" w:hAnsi="Arial" w:hint="default"/>
      </w:rPr>
    </w:lvl>
    <w:lvl w:ilvl="8" w:tplc="C092452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2B0D98"/>
    <w:multiLevelType w:val="hybridMultilevel"/>
    <w:tmpl w:val="7AB4E0DE"/>
    <w:lvl w:ilvl="0" w:tplc="907EA586">
      <w:start w:val="25"/>
      <w:numFmt w:val="bullet"/>
      <w:lvlText w:val="–"/>
      <w:lvlJc w:val="left"/>
      <w:pPr>
        <w:ind w:left="1068" w:hanging="360"/>
      </w:pPr>
      <w:rPr>
        <w:rFonts w:ascii="Garamond" w:eastAsiaTheme="minorHAnsi" w:hAnsi="Garamond"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515858FF"/>
    <w:multiLevelType w:val="hybridMultilevel"/>
    <w:tmpl w:val="8070E044"/>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15:restartNumberingAfterBreak="0">
    <w:nsid w:val="55B707E5"/>
    <w:multiLevelType w:val="hybridMultilevel"/>
    <w:tmpl w:val="B33CB49C"/>
    <w:lvl w:ilvl="0" w:tplc="907EA586">
      <w:start w:val="25"/>
      <w:numFmt w:val="bullet"/>
      <w:lvlText w:val="–"/>
      <w:lvlJc w:val="left"/>
      <w:pPr>
        <w:ind w:left="720" w:hanging="360"/>
      </w:pPr>
      <w:rPr>
        <w:rFonts w:ascii="Garamond" w:eastAsiaTheme="minorHAnsi" w:hAnsi="Garamond"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3CB2D3C"/>
    <w:multiLevelType w:val="hybridMultilevel"/>
    <w:tmpl w:val="3EC6BAA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609"/>
    <w:rsid w:val="000063CF"/>
    <w:rsid w:val="00017067"/>
    <w:rsid w:val="00035988"/>
    <w:rsid w:val="000554AD"/>
    <w:rsid w:val="00065D91"/>
    <w:rsid w:val="00085E0E"/>
    <w:rsid w:val="00086981"/>
    <w:rsid w:val="0009312F"/>
    <w:rsid w:val="000A7813"/>
    <w:rsid w:val="000B423C"/>
    <w:rsid w:val="000B4AF0"/>
    <w:rsid w:val="000B70B5"/>
    <w:rsid w:val="000D0DCE"/>
    <w:rsid w:val="000D2750"/>
    <w:rsid w:val="000E3ABC"/>
    <w:rsid w:val="000E7FDF"/>
    <w:rsid w:val="000F229F"/>
    <w:rsid w:val="000F3783"/>
    <w:rsid w:val="000F4AA3"/>
    <w:rsid w:val="000F4C2C"/>
    <w:rsid w:val="00103B10"/>
    <w:rsid w:val="001049EA"/>
    <w:rsid w:val="00112054"/>
    <w:rsid w:val="00114258"/>
    <w:rsid w:val="00116B08"/>
    <w:rsid w:val="00124A48"/>
    <w:rsid w:val="0013355E"/>
    <w:rsid w:val="001413B1"/>
    <w:rsid w:val="0014352D"/>
    <w:rsid w:val="00150C78"/>
    <w:rsid w:val="00174074"/>
    <w:rsid w:val="00176D40"/>
    <w:rsid w:val="00177AD6"/>
    <w:rsid w:val="00183817"/>
    <w:rsid w:val="00193C6C"/>
    <w:rsid w:val="001A1CF7"/>
    <w:rsid w:val="001A2607"/>
    <w:rsid w:val="001A7D6E"/>
    <w:rsid w:val="001C3F49"/>
    <w:rsid w:val="001C6386"/>
    <w:rsid w:val="001C7708"/>
    <w:rsid w:val="001D1F90"/>
    <w:rsid w:val="001E29BA"/>
    <w:rsid w:val="001F56F8"/>
    <w:rsid w:val="001F7255"/>
    <w:rsid w:val="00200DC9"/>
    <w:rsid w:val="0020330B"/>
    <w:rsid w:val="002167CD"/>
    <w:rsid w:val="00224F62"/>
    <w:rsid w:val="002275B9"/>
    <w:rsid w:val="00236344"/>
    <w:rsid w:val="00243D44"/>
    <w:rsid w:val="00244992"/>
    <w:rsid w:val="00245707"/>
    <w:rsid w:val="002513EE"/>
    <w:rsid w:val="0026085E"/>
    <w:rsid w:val="00261F2F"/>
    <w:rsid w:val="00265731"/>
    <w:rsid w:val="00272A23"/>
    <w:rsid w:val="00283212"/>
    <w:rsid w:val="0028683E"/>
    <w:rsid w:val="002971E2"/>
    <w:rsid w:val="002A3A30"/>
    <w:rsid w:val="002A5CF7"/>
    <w:rsid w:val="002B40FD"/>
    <w:rsid w:val="002B4C4A"/>
    <w:rsid w:val="002B5D80"/>
    <w:rsid w:val="002C1186"/>
    <w:rsid w:val="002C1DA4"/>
    <w:rsid w:val="002C6979"/>
    <w:rsid w:val="002D16BB"/>
    <w:rsid w:val="002D1D79"/>
    <w:rsid w:val="002D4888"/>
    <w:rsid w:val="002F139E"/>
    <w:rsid w:val="00310D43"/>
    <w:rsid w:val="003138DA"/>
    <w:rsid w:val="003142EB"/>
    <w:rsid w:val="00314B3F"/>
    <w:rsid w:val="003400E2"/>
    <w:rsid w:val="00344E6E"/>
    <w:rsid w:val="00361DA7"/>
    <w:rsid w:val="00374B6B"/>
    <w:rsid w:val="00380711"/>
    <w:rsid w:val="0038489D"/>
    <w:rsid w:val="003954D4"/>
    <w:rsid w:val="003A351A"/>
    <w:rsid w:val="003B3DDB"/>
    <w:rsid w:val="003C0BCB"/>
    <w:rsid w:val="003D301F"/>
    <w:rsid w:val="003D6622"/>
    <w:rsid w:val="003E7658"/>
    <w:rsid w:val="003F2918"/>
    <w:rsid w:val="003F29F0"/>
    <w:rsid w:val="003F5369"/>
    <w:rsid w:val="0040257C"/>
    <w:rsid w:val="00402720"/>
    <w:rsid w:val="00407D40"/>
    <w:rsid w:val="00417C4E"/>
    <w:rsid w:val="004205F4"/>
    <w:rsid w:val="00430FB2"/>
    <w:rsid w:val="00437D54"/>
    <w:rsid w:val="00443849"/>
    <w:rsid w:val="00445E17"/>
    <w:rsid w:val="00446FF8"/>
    <w:rsid w:val="00447D7F"/>
    <w:rsid w:val="00452CC8"/>
    <w:rsid w:val="00456C7F"/>
    <w:rsid w:val="00460BFB"/>
    <w:rsid w:val="00473E9A"/>
    <w:rsid w:val="00476997"/>
    <w:rsid w:val="004836D2"/>
    <w:rsid w:val="0048606F"/>
    <w:rsid w:val="004A4E01"/>
    <w:rsid w:val="004A62AF"/>
    <w:rsid w:val="004C13A4"/>
    <w:rsid w:val="004C1ECD"/>
    <w:rsid w:val="004D07E5"/>
    <w:rsid w:val="004D2392"/>
    <w:rsid w:val="004D2652"/>
    <w:rsid w:val="004E0C0A"/>
    <w:rsid w:val="004F2537"/>
    <w:rsid w:val="004F3DCA"/>
    <w:rsid w:val="0050685B"/>
    <w:rsid w:val="005312BE"/>
    <w:rsid w:val="00552D2E"/>
    <w:rsid w:val="00553012"/>
    <w:rsid w:val="005612A1"/>
    <w:rsid w:val="0057125F"/>
    <w:rsid w:val="0057198C"/>
    <w:rsid w:val="005733F5"/>
    <w:rsid w:val="00593477"/>
    <w:rsid w:val="005A1A07"/>
    <w:rsid w:val="005A2D41"/>
    <w:rsid w:val="005A30F1"/>
    <w:rsid w:val="005A3CEF"/>
    <w:rsid w:val="005A4027"/>
    <w:rsid w:val="005B4512"/>
    <w:rsid w:val="005C0518"/>
    <w:rsid w:val="005C71B9"/>
    <w:rsid w:val="005D2027"/>
    <w:rsid w:val="005D727C"/>
    <w:rsid w:val="005F25C2"/>
    <w:rsid w:val="00605051"/>
    <w:rsid w:val="00607E10"/>
    <w:rsid w:val="00613E7E"/>
    <w:rsid w:val="00615DE3"/>
    <w:rsid w:val="0064188C"/>
    <w:rsid w:val="00650249"/>
    <w:rsid w:val="00661E34"/>
    <w:rsid w:val="00686AAE"/>
    <w:rsid w:val="00696614"/>
    <w:rsid w:val="00697975"/>
    <w:rsid w:val="00697CEA"/>
    <w:rsid w:val="006A33DD"/>
    <w:rsid w:val="006A4909"/>
    <w:rsid w:val="006C5CA3"/>
    <w:rsid w:val="006D3908"/>
    <w:rsid w:val="006D4A89"/>
    <w:rsid w:val="006E0B22"/>
    <w:rsid w:val="006E7860"/>
    <w:rsid w:val="006E7C6B"/>
    <w:rsid w:val="0070085E"/>
    <w:rsid w:val="00715137"/>
    <w:rsid w:val="007376B2"/>
    <w:rsid w:val="00743758"/>
    <w:rsid w:val="00746401"/>
    <w:rsid w:val="00746C4E"/>
    <w:rsid w:val="00756B2F"/>
    <w:rsid w:val="0076312C"/>
    <w:rsid w:val="00764B1F"/>
    <w:rsid w:val="00770D31"/>
    <w:rsid w:val="00777673"/>
    <w:rsid w:val="00790F05"/>
    <w:rsid w:val="007917C8"/>
    <w:rsid w:val="007A5303"/>
    <w:rsid w:val="007B3EA9"/>
    <w:rsid w:val="007C6B07"/>
    <w:rsid w:val="007E1069"/>
    <w:rsid w:val="007E5278"/>
    <w:rsid w:val="007E53A9"/>
    <w:rsid w:val="007E5934"/>
    <w:rsid w:val="007E59AA"/>
    <w:rsid w:val="007F060B"/>
    <w:rsid w:val="008005EC"/>
    <w:rsid w:val="00802D4E"/>
    <w:rsid w:val="00812AC9"/>
    <w:rsid w:val="00817482"/>
    <w:rsid w:val="00821C3A"/>
    <w:rsid w:val="00824609"/>
    <w:rsid w:val="00832791"/>
    <w:rsid w:val="008362BC"/>
    <w:rsid w:val="0083719D"/>
    <w:rsid w:val="0084021B"/>
    <w:rsid w:val="00847005"/>
    <w:rsid w:val="00852E81"/>
    <w:rsid w:val="00861AD8"/>
    <w:rsid w:val="008640DC"/>
    <w:rsid w:val="0087029E"/>
    <w:rsid w:val="00870E60"/>
    <w:rsid w:val="008816A0"/>
    <w:rsid w:val="008832EB"/>
    <w:rsid w:val="00884F30"/>
    <w:rsid w:val="008877BE"/>
    <w:rsid w:val="00893EC5"/>
    <w:rsid w:val="00897A77"/>
    <w:rsid w:val="008B5438"/>
    <w:rsid w:val="008B6129"/>
    <w:rsid w:val="008C091F"/>
    <w:rsid w:val="008C6649"/>
    <w:rsid w:val="008D7EA7"/>
    <w:rsid w:val="008F01D0"/>
    <w:rsid w:val="008F0208"/>
    <w:rsid w:val="008F3294"/>
    <w:rsid w:val="008F33FB"/>
    <w:rsid w:val="008F5E2C"/>
    <w:rsid w:val="00911F5D"/>
    <w:rsid w:val="00930F8A"/>
    <w:rsid w:val="009359C9"/>
    <w:rsid w:val="00941AB1"/>
    <w:rsid w:val="00954849"/>
    <w:rsid w:val="00965EC2"/>
    <w:rsid w:val="009745CE"/>
    <w:rsid w:val="00983884"/>
    <w:rsid w:val="0099001E"/>
    <w:rsid w:val="00993D13"/>
    <w:rsid w:val="00994F6C"/>
    <w:rsid w:val="009B342A"/>
    <w:rsid w:val="009B4C5F"/>
    <w:rsid w:val="009C675A"/>
    <w:rsid w:val="009C7A1E"/>
    <w:rsid w:val="009F388D"/>
    <w:rsid w:val="00A23362"/>
    <w:rsid w:val="00A24302"/>
    <w:rsid w:val="00A25F46"/>
    <w:rsid w:val="00A30CBE"/>
    <w:rsid w:val="00A536B4"/>
    <w:rsid w:val="00A54DB5"/>
    <w:rsid w:val="00A6244A"/>
    <w:rsid w:val="00A66F5C"/>
    <w:rsid w:val="00A9091F"/>
    <w:rsid w:val="00A913DC"/>
    <w:rsid w:val="00A97E68"/>
    <w:rsid w:val="00AA0905"/>
    <w:rsid w:val="00AB0DEF"/>
    <w:rsid w:val="00AB25CB"/>
    <w:rsid w:val="00AC568B"/>
    <w:rsid w:val="00AD185A"/>
    <w:rsid w:val="00AD44DE"/>
    <w:rsid w:val="00AD4A20"/>
    <w:rsid w:val="00AE0247"/>
    <w:rsid w:val="00B02F6A"/>
    <w:rsid w:val="00B10317"/>
    <w:rsid w:val="00B303AD"/>
    <w:rsid w:val="00B310E1"/>
    <w:rsid w:val="00B31CB5"/>
    <w:rsid w:val="00B502A5"/>
    <w:rsid w:val="00B530B7"/>
    <w:rsid w:val="00B65332"/>
    <w:rsid w:val="00B86FA0"/>
    <w:rsid w:val="00B87BAA"/>
    <w:rsid w:val="00BC411C"/>
    <w:rsid w:val="00BD6C98"/>
    <w:rsid w:val="00BE20F1"/>
    <w:rsid w:val="00BE60B7"/>
    <w:rsid w:val="00BF61D6"/>
    <w:rsid w:val="00C002A2"/>
    <w:rsid w:val="00C04BE2"/>
    <w:rsid w:val="00C059A9"/>
    <w:rsid w:val="00C10D49"/>
    <w:rsid w:val="00C11C58"/>
    <w:rsid w:val="00C22733"/>
    <w:rsid w:val="00C23BFF"/>
    <w:rsid w:val="00C27DF8"/>
    <w:rsid w:val="00C319DE"/>
    <w:rsid w:val="00C3239B"/>
    <w:rsid w:val="00C32676"/>
    <w:rsid w:val="00C437D2"/>
    <w:rsid w:val="00C475EF"/>
    <w:rsid w:val="00C53C33"/>
    <w:rsid w:val="00C54D26"/>
    <w:rsid w:val="00C60C99"/>
    <w:rsid w:val="00C61E9E"/>
    <w:rsid w:val="00C813A1"/>
    <w:rsid w:val="00C81784"/>
    <w:rsid w:val="00C825EC"/>
    <w:rsid w:val="00CA3369"/>
    <w:rsid w:val="00CA60DF"/>
    <w:rsid w:val="00CB1CF8"/>
    <w:rsid w:val="00CD3C02"/>
    <w:rsid w:val="00CD59D5"/>
    <w:rsid w:val="00CF3317"/>
    <w:rsid w:val="00CF544F"/>
    <w:rsid w:val="00D051C9"/>
    <w:rsid w:val="00D06C43"/>
    <w:rsid w:val="00D117E0"/>
    <w:rsid w:val="00D267F1"/>
    <w:rsid w:val="00D271C6"/>
    <w:rsid w:val="00D34B76"/>
    <w:rsid w:val="00D3681B"/>
    <w:rsid w:val="00D40DF5"/>
    <w:rsid w:val="00D6027D"/>
    <w:rsid w:val="00D731F4"/>
    <w:rsid w:val="00D83615"/>
    <w:rsid w:val="00D852D8"/>
    <w:rsid w:val="00D8550C"/>
    <w:rsid w:val="00D866B2"/>
    <w:rsid w:val="00D92365"/>
    <w:rsid w:val="00DA71B3"/>
    <w:rsid w:val="00DB5B23"/>
    <w:rsid w:val="00DB65E2"/>
    <w:rsid w:val="00DC164E"/>
    <w:rsid w:val="00DE414C"/>
    <w:rsid w:val="00DE7285"/>
    <w:rsid w:val="00DF0374"/>
    <w:rsid w:val="00DF7FD0"/>
    <w:rsid w:val="00E02356"/>
    <w:rsid w:val="00E11023"/>
    <w:rsid w:val="00E23BB6"/>
    <w:rsid w:val="00E63828"/>
    <w:rsid w:val="00E70F7C"/>
    <w:rsid w:val="00E80C9D"/>
    <w:rsid w:val="00E849BC"/>
    <w:rsid w:val="00E91578"/>
    <w:rsid w:val="00E94650"/>
    <w:rsid w:val="00E97974"/>
    <w:rsid w:val="00EB1449"/>
    <w:rsid w:val="00EB26DA"/>
    <w:rsid w:val="00ED0C6D"/>
    <w:rsid w:val="00ED3C15"/>
    <w:rsid w:val="00ED6B22"/>
    <w:rsid w:val="00EE3CF2"/>
    <w:rsid w:val="00EF55D6"/>
    <w:rsid w:val="00EF781A"/>
    <w:rsid w:val="00F03717"/>
    <w:rsid w:val="00F24A88"/>
    <w:rsid w:val="00F32840"/>
    <w:rsid w:val="00F47584"/>
    <w:rsid w:val="00F51770"/>
    <w:rsid w:val="00F53C56"/>
    <w:rsid w:val="00F64210"/>
    <w:rsid w:val="00F70808"/>
    <w:rsid w:val="00F75D0F"/>
    <w:rsid w:val="00F92E97"/>
    <w:rsid w:val="00FB6E9C"/>
    <w:rsid w:val="00FB707F"/>
    <w:rsid w:val="00FC1C72"/>
    <w:rsid w:val="00FC20AB"/>
    <w:rsid w:val="00FC45BF"/>
    <w:rsid w:val="00FC589C"/>
    <w:rsid w:val="00FE07F4"/>
    <w:rsid w:val="00FE0D7D"/>
    <w:rsid w:val="00FE4CDA"/>
    <w:rsid w:val="00FF4D69"/>
    <w:rsid w:val="00FF6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E8238"/>
  <w15:docId w15:val="{381D8F25-C39A-4E8E-90D5-252A116E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5"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46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4609"/>
    <w:pPr>
      <w:keepNext/>
      <w:jc w:val="center"/>
      <w:outlineLvl w:val="0"/>
    </w:pPr>
    <w:rPr>
      <w:rFonts w:cs="Arial"/>
      <w:b/>
      <w:bCs/>
      <w:kern w:val="32"/>
      <w:sz w:val="28"/>
      <w:szCs w:val="32"/>
      <w:u w:val="single"/>
    </w:rPr>
  </w:style>
  <w:style w:type="paragraph" w:styleId="2">
    <w:name w:val="heading 2"/>
    <w:basedOn w:val="a"/>
    <w:next w:val="a"/>
    <w:link w:val="20"/>
    <w:uiPriority w:val="9"/>
    <w:unhideWhenUsed/>
    <w:qFormat/>
    <w:rsid w:val="000B70B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4609"/>
    <w:rPr>
      <w:rFonts w:ascii="Times New Roman" w:eastAsia="Times New Roman" w:hAnsi="Times New Roman" w:cs="Arial"/>
      <w:b/>
      <w:bCs/>
      <w:kern w:val="32"/>
      <w:sz w:val="28"/>
      <w:szCs w:val="32"/>
      <w:u w:val="single"/>
      <w:lang w:eastAsia="ru-RU"/>
    </w:rPr>
  </w:style>
  <w:style w:type="paragraph" w:styleId="a3">
    <w:name w:val="Balloon Text"/>
    <w:basedOn w:val="a"/>
    <w:link w:val="a4"/>
    <w:uiPriority w:val="99"/>
    <w:semiHidden/>
    <w:unhideWhenUsed/>
    <w:rsid w:val="00824609"/>
    <w:rPr>
      <w:rFonts w:ascii="Tahoma" w:hAnsi="Tahoma" w:cs="Tahoma"/>
      <w:sz w:val="16"/>
      <w:szCs w:val="16"/>
    </w:rPr>
  </w:style>
  <w:style w:type="character" w:customStyle="1" w:styleId="a4">
    <w:name w:val="Текст выноски Знак"/>
    <w:basedOn w:val="a0"/>
    <w:link w:val="a3"/>
    <w:uiPriority w:val="99"/>
    <w:semiHidden/>
    <w:rsid w:val="00824609"/>
    <w:rPr>
      <w:rFonts w:ascii="Tahoma" w:eastAsia="Times New Roman" w:hAnsi="Tahoma" w:cs="Tahoma"/>
      <w:sz w:val="16"/>
      <w:szCs w:val="16"/>
      <w:lang w:eastAsia="ru-RU"/>
    </w:rPr>
  </w:style>
  <w:style w:type="paragraph" w:styleId="a5">
    <w:name w:val="List Paragraph"/>
    <w:basedOn w:val="a"/>
    <w:uiPriority w:val="34"/>
    <w:qFormat/>
    <w:rsid w:val="001A1CF7"/>
    <w:pPr>
      <w:ind w:left="720"/>
      <w:contextualSpacing/>
    </w:pPr>
  </w:style>
  <w:style w:type="paragraph" w:styleId="a6">
    <w:name w:val="footnote text"/>
    <w:basedOn w:val="a"/>
    <w:link w:val="a7"/>
    <w:uiPriority w:val="99"/>
    <w:unhideWhenUsed/>
    <w:rsid w:val="00615DE3"/>
    <w:rPr>
      <w:sz w:val="20"/>
      <w:szCs w:val="20"/>
    </w:rPr>
  </w:style>
  <w:style w:type="character" w:customStyle="1" w:styleId="a7">
    <w:name w:val="Текст сноски Знак"/>
    <w:basedOn w:val="a0"/>
    <w:link w:val="a6"/>
    <w:uiPriority w:val="99"/>
    <w:rsid w:val="00615DE3"/>
    <w:rPr>
      <w:rFonts w:ascii="Times New Roman" w:eastAsia="Times New Roman" w:hAnsi="Times New Roman" w:cs="Times New Roman"/>
      <w:sz w:val="20"/>
      <w:szCs w:val="20"/>
      <w:lang w:eastAsia="ru-RU"/>
    </w:rPr>
  </w:style>
  <w:style w:type="character" w:styleId="a8">
    <w:name w:val="footnote reference"/>
    <w:aliases w:val="SUPERS,Odwołanie przypisu,Footnote symbol,Знак сноски-FN,Ciae niinee-FN,Знак сноски 1,Referencia nota al pie"/>
    <w:basedOn w:val="a0"/>
    <w:uiPriority w:val="99"/>
    <w:unhideWhenUsed/>
    <w:rsid w:val="00615DE3"/>
    <w:rPr>
      <w:vertAlign w:val="superscript"/>
    </w:rPr>
  </w:style>
  <w:style w:type="paragraph" w:styleId="a9">
    <w:name w:val="header"/>
    <w:basedOn w:val="a"/>
    <w:link w:val="aa"/>
    <w:uiPriority w:val="99"/>
    <w:unhideWhenUsed/>
    <w:rsid w:val="00C059A9"/>
    <w:pPr>
      <w:tabs>
        <w:tab w:val="center" w:pos="4677"/>
        <w:tab w:val="right" w:pos="9355"/>
      </w:tabs>
    </w:pPr>
  </w:style>
  <w:style w:type="character" w:customStyle="1" w:styleId="aa">
    <w:name w:val="Верхний колонтитул Знак"/>
    <w:basedOn w:val="a0"/>
    <w:link w:val="a9"/>
    <w:uiPriority w:val="99"/>
    <w:rsid w:val="00C059A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C059A9"/>
    <w:pPr>
      <w:tabs>
        <w:tab w:val="center" w:pos="4677"/>
        <w:tab w:val="right" w:pos="9355"/>
      </w:tabs>
    </w:pPr>
  </w:style>
  <w:style w:type="character" w:customStyle="1" w:styleId="ac">
    <w:name w:val="Нижний колонтитул Знак"/>
    <w:basedOn w:val="a0"/>
    <w:link w:val="ab"/>
    <w:uiPriority w:val="99"/>
    <w:rsid w:val="00C059A9"/>
    <w:rPr>
      <w:rFonts w:ascii="Times New Roman" w:eastAsia="Times New Roman" w:hAnsi="Times New Roman" w:cs="Times New Roman"/>
      <w:sz w:val="24"/>
      <w:szCs w:val="24"/>
      <w:lang w:eastAsia="ru-RU"/>
    </w:rPr>
  </w:style>
  <w:style w:type="table" w:styleId="ad">
    <w:name w:val="Table Grid"/>
    <w:basedOn w:val="a1"/>
    <w:uiPriority w:val="59"/>
    <w:rsid w:val="004D07E5"/>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9"/>
    <w:qFormat/>
    <w:rsid w:val="00FC589C"/>
    <w:pPr>
      <w:spacing w:after="0" w:line="240" w:lineRule="auto"/>
    </w:pPr>
  </w:style>
  <w:style w:type="paragraph" w:styleId="af">
    <w:name w:val="TOC Heading"/>
    <w:basedOn w:val="1"/>
    <w:next w:val="a"/>
    <w:uiPriority w:val="39"/>
    <w:unhideWhenUsed/>
    <w:qFormat/>
    <w:rsid w:val="001A2607"/>
    <w:pPr>
      <w:keepLines/>
      <w:spacing w:before="480" w:line="276" w:lineRule="auto"/>
      <w:jc w:val="left"/>
      <w:outlineLvl w:val="9"/>
    </w:pPr>
    <w:rPr>
      <w:rFonts w:asciiTheme="majorHAnsi" w:eastAsiaTheme="majorEastAsia" w:hAnsiTheme="majorHAnsi" w:cstheme="majorBidi"/>
      <w:color w:val="365F91" w:themeColor="accent1" w:themeShade="BF"/>
      <w:kern w:val="0"/>
      <w:szCs w:val="28"/>
      <w:u w:val="none"/>
    </w:rPr>
  </w:style>
  <w:style w:type="paragraph" w:styleId="11">
    <w:name w:val="toc 1"/>
    <w:basedOn w:val="a"/>
    <w:next w:val="a"/>
    <w:autoRedefine/>
    <w:uiPriority w:val="39"/>
    <w:unhideWhenUsed/>
    <w:rsid w:val="001A2607"/>
    <w:pPr>
      <w:spacing w:after="100"/>
    </w:pPr>
  </w:style>
  <w:style w:type="character" w:styleId="af0">
    <w:name w:val="Hyperlink"/>
    <w:basedOn w:val="a0"/>
    <w:uiPriority w:val="99"/>
    <w:unhideWhenUsed/>
    <w:rsid w:val="001A2607"/>
    <w:rPr>
      <w:color w:val="0000FF" w:themeColor="hyperlink"/>
      <w:u w:val="single"/>
    </w:rPr>
  </w:style>
  <w:style w:type="character" w:customStyle="1" w:styleId="20">
    <w:name w:val="Заголовок 2 Знак"/>
    <w:basedOn w:val="a0"/>
    <w:link w:val="2"/>
    <w:uiPriority w:val="9"/>
    <w:rsid w:val="000B70B5"/>
    <w:rPr>
      <w:rFonts w:asciiTheme="majorHAnsi" w:eastAsiaTheme="majorEastAsia" w:hAnsiTheme="majorHAnsi" w:cstheme="majorBidi"/>
      <w:b/>
      <w:bCs/>
      <w:color w:val="4F81BD" w:themeColor="accent1"/>
      <w:sz w:val="26"/>
      <w:szCs w:val="26"/>
      <w:lang w:eastAsia="ru-RU"/>
    </w:rPr>
  </w:style>
  <w:style w:type="paragraph" w:styleId="21">
    <w:name w:val="toc 2"/>
    <w:basedOn w:val="a"/>
    <w:next w:val="a"/>
    <w:autoRedefine/>
    <w:uiPriority w:val="39"/>
    <w:unhideWhenUsed/>
    <w:rsid w:val="000B70B5"/>
    <w:pPr>
      <w:spacing w:after="100"/>
      <w:ind w:left="240"/>
    </w:pPr>
  </w:style>
  <w:style w:type="paragraph" w:styleId="af1">
    <w:name w:val="Title"/>
    <w:aliases w:val="Уровень 2"/>
    <w:basedOn w:val="a"/>
    <w:next w:val="a"/>
    <w:link w:val="af2"/>
    <w:uiPriority w:val="10"/>
    <w:qFormat/>
    <w:rsid w:val="000B70B5"/>
    <w:pPr>
      <w:contextualSpacing/>
    </w:pPr>
    <w:rPr>
      <w:rFonts w:asciiTheme="majorHAnsi" w:eastAsiaTheme="majorEastAsia" w:hAnsiTheme="majorHAnsi" w:cstheme="majorBidi"/>
      <w:color w:val="365F91" w:themeColor="accent1" w:themeShade="BF"/>
      <w:spacing w:val="-7"/>
      <w:sz w:val="80"/>
      <w:szCs w:val="80"/>
      <w:lang w:eastAsia="en-US"/>
    </w:rPr>
  </w:style>
  <w:style w:type="character" w:customStyle="1" w:styleId="af2">
    <w:name w:val="Заголовок Знак"/>
    <w:aliases w:val="Уровень 2 Знак"/>
    <w:basedOn w:val="a0"/>
    <w:link w:val="af1"/>
    <w:uiPriority w:val="10"/>
    <w:rsid w:val="000B70B5"/>
    <w:rPr>
      <w:rFonts w:asciiTheme="majorHAnsi" w:eastAsiaTheme="majorEastAsia" w:hAnsiTheme="majorHAnsi" w:cstheme="majorBidi"/>
      <w:color w:val="365F91" w:themeColor="accent1" w:themeShade="BF"/>
      <w:spacing w:val="-7"/>
      <w:sz w:val="80"/>
      <w:szCs w:val="80"/>
    </w:rPr>
  </w:style>
  <w:style w:type="paragraph" w:styleId="af3">
    <w:name w:val="Date"/>
    <w:basedOn w:val="a"/>
    <w:link w:val="af4"/>
    <w:uiPriority w:val="5"/>
    <w:unhideWhenUsed/>
    <w:rsid w:val="000B70B5"/>
    <w:pPr>
      <w:spacing w:after="120" w:line="312" w:lineRule="auto"/>
      <w:jc w:val="center"/>
    </w:pPr>
    <w:rPr>
      <w:rFonts w:eastAsiaTheme="minorEastAsia"/>
      <w:color w:val="FFFFFF" w:themeColor="background1"/>
      <w:lang w:eastAsia="ja-JP"/>
    </w:rPr>
  </w:style>
  <w:style w:type="character" w:customStyle="1" w:styleId="af4">
    <w:name w:val="Дата Знак"/>
    <w:basedOn w:val="a0"/>
    <w:link w:val="af3"/>
    <w:uiPriority w:val="5"/>
    <w:rsid w:val="000B70B5"/>
    <w:rPr>
      <w:rFonts w:ascii="Times New Roman" w:eastAsiaTheme="minorEastAsia" w:hAnsi="Times New Roman" w:cs="Times New Roman"/>
      <w:color w:val="FFFFFF" w:themeColor="background1"/>
      <w:sz w:val="24"/>
      <w:szCs w:val="24"/>
      <w:lang w:eastAsia="ja-JP"/>
    </w:rPr>
  </w:style>
  <w:style w:type="character" w:styleId="af5">
    <w:name w:val="Emphasis"/>
    <w:aliases w:val="Глава 3"/>
    <w:basedOn w:val="a0"/>
    <w:uiPriority w:val="20"/>
    <w:qFormat/>
    <w:rsid w:val="000B70B5"/>
    <w:rPr>
      <w:i/>
      <w:iCs/>
    </w:rPr>
  </w:style>
  <w:style w:type="table" w:customStyle="1" w:styleId="-511">
    <w:name w:val="Таблица-сетка 5 темная — акцент 11"/>
    <w:basedOn w:val="a1"/>
    <w:uiPriority w:val="50"/>
    <w:rsid w:val="000B70B5"/>
    <w:pPr>
      <w:spacing w:after="0" w:line="240" w:lineRule="auto"/>
    </w:pPr>
    <w:rPr>
      <w:rFonts w:ascii="Times New Roman" w:eastAsiaTheme="minorEastAsia" w:hAnsi="Times New Roman" w:cs="Times New Roman"/>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af6">
    <w:name w:val="Intense Emphasis"/>
    <w:basedOn w:val="a0"/>
    <w:uiPriority w:val="21"/>
    <w:qFormat/>
    <w:rsid w:val="00D06C43"/>
    <w:rPr>
      <w:b/>
      <w:bCs/>
      <w:i/>
      <w:iCs/>
      <w:color w:val="4F81BD" w:themeColor="accent1"/>
    </w:rPr>
  </w:style>
  <w:style w:type="character" w:styleId="af7">
    <w:name w:val="annotation reference"/>
    <w:basedOn w:val="a0"/>
    <w:uiPriority w:val="99"/>
    <w:semiHidden/>
    <w:unhideWhenUsed/>
    <w:rsid w:val="00756B2F"/>
    <w:rPr>
      <w:sz w:val="16"/>
      <w:szCs w:val="16"/>
    </w:rPr>
  </w:style>
  <w:style w:type="paragraph" w:styleId="af8">
    <w:name w:val="annotation text"/>
    <w:basedOn w:val="a"/>
    <w:link w:val="af9"/>
    <w:uiPriority w:val="99"/>
    <w:semiHidden/>
    <w:unhideWhenUsed/>
    <w:rsid w:val="00756B2F"/>
    <w:rPr>
      <w:sz w:val="20"/>
      <w:szCs w:val="20"/>
    </w:rPr>
  </w:style>
  <w:style w:type="character" w:customStyle="1" w:styleId="af9">
    <w:name w:val="Текст примечания Знак"/>
    <w:basedOn w:val="a0"/>
    <w:link w:val="af8"/>
    <w:uiPriority w:val="99"/>
    <w:semiHidden/>
    <w:rsid w:val="00756B2F"/>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756B2F"/>
    <w:rPr>
      <w:b/>
      <w:bCs/>
    </w:rPr>
  </w:style>
  <w:style w:type="character" w:customStyle="1" w:styleId="afb">
    <w:name w:val="Тема примечания Знак"/>
    <w:basedOn w:val="af9"/>
    <w:link w:val="afa"/>
    <w:uiPriority w:val="99"/>
    <w:semiHidden/>
    <w:rsid w:val="00756B2F"/>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chart" Target="charts/chart35.xml"/><Relationship Id="rId47" Type="http://schemas.openxmlformats.org/officeDocument/2006/relationships/chart" Target="charts/chart40.xml"/><Relationship Id="rId50" Type="http://schemas.openxmlformats.org/officeDocument/2006/relationships/chart" Target="charts/chart43.xml"/><Relationship Id="rId55" Type="http://schemas.openxmlformats.org/officeDocument/2006/relationships/chart" Target="charts/chart48.xml"/><Relationship Id="rId63" Type="http://schemas.openxmlformats.org/officeDocument/2006/relationships/chart" Target="charts/chart5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9.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chart" Target="charts/chart38.xml"/><Relationship Id="rId53" Type="http://schemas.openxmlformats.org/officeDocument/2006/relationships/chart" Target="charts/chart46.xml"/><Relationship Id="rId58" Type="http://schemas.openxmlformats.org/officeDocument/2006/relationships/chart" Target="charts/chart51.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49" Type="http://schemas.openxmlformats.org/officeDocument/2006/relationships/chart" Target="charts/chart42.xml"/><Relationship Id="rId57" Type="http://schemas.openxmlformats.org/officeDocument/2006/relationships/chart" Target="charts/chart50.xml"/><Relationship Id="rId61" Type="http://schemas.openxmlformats.org/officeDocument/2006/relationships/chart" Target="charts/chart54.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4" Type="http://schemas.openxmlformats.org/officeDocument/2006/relationships/chart" Target="charts/chart37.xml"/><Relationship Id="rId52" Type="http://schemas.openxmlformats.org/officeDocument/2006/relationships/chart" Target="charts/chart45.xml"/><Relationship Id="rId60" Type="http://schemas.openxmlformats.org/officeDocument/2006/relationships/chart" Target="charts/chart53.xm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chart" Target="charts/chart36.xml"/><Relationship Id="rId48" Type="http://schemas.openxmlformats.org/officeDocument/2006/relationships/chart" Target="charts/chart41.xml"/><Relationship Id="rId56" Type="http://schemas.openxmlformats.org/officeDocument/2006/relationships/chart" Target="charts/chart49.xml"/><Relationship Id="rId64" Type="http://schemas.openxmlformats.org/officeDocument/2006/relationships/chart" Target="charts/chart57.xml"/><Relationship Id="rId8" Type="http://schemas.openxmlformats.org/officeDocument/2006/relationships/chart" Target="charts/chart1.xml"/><Relationship Id="rId51" Type="http://schemas.openxmlformats.org/officeDocument/2006/relationships/chart" Target="charts/chart44.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chart" Target="charts/chart39.xml"/><Relationship Id="rId59" Type="http://schemas.openxmlformats.org/officeDocument/2006/relationships/chart" Target="charts/chart52.xml"/><Relationship Id="rId67" Type="http://schemas.openxmlformats.org/officeDocument/2006/relationships/theme" Target="theme/theme1.xml"/><Relationship Id="rId20" Type="http://schemas.openxmlformats.org/officeDocument/2006/relationships/chart" Target="charts/chart13.xml"/><Relationship Id="rId41" Type="http://schemas.openxmlformats.org/officeDocument/2006/relationships/chart" Target="charts/chart34.xml"/><Relationship Id="rId54" Type="http://schemas.openxmlformats.org/officeDocument/2006/relationships/chart" Target="charts/chart47.xml"/><Relationship Id="rId62"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26.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Excel_Worksheet27.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Excel_Worksheet28.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Worksheet29.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Excel_Worksheet30.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Microsoft_Excel_Worksheet31.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Microsoft_Excel_Worksheet32.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Microsoft_Excel_Worksheet33.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Microsoft_Excel_Worksheet34.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Microsoft_Excel_Worksheet35.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Microsoft_Excel_Worksheet36.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Microsoft_Excel_Worksheet37.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Microsoft_Excel_Worksheet38.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0.xml.rels><?xml version="1.0" encoding="UTF-8" standalone="yes"?>
<Relationships xmlns="http://schemas.openxmlformats.org/package/2006/relationships"><Relationship Id="rId1" Type="http://schemas.openxmlformats.org/officeDocument/2006/relationships/package" Target="../embeddings/Microsoft_Excel_Worksheet39.xlsx"/></Relationships>
</file>

<file path=word/charts/_rels/chart41.xml.rels><?xml version="1.0" encoding="UTF-8" standalone="yes"?>
<Relationships xmlns="http://schemas.openxmlformats.org/package/2006/relationships"><Relationship Id="rId1" Type="http://schemas.openxmlformats.org/officeDocument/2006/relationships/package" Target="../embeddings/Microsoft_Excel_Worksheet40.xlsx"/></Relationships>
</file>

<file path=word/charts/_rels/chart42.xml.rels><?xml version="1.0" encoding="UTF-8" standalone="yes"?>
<Relationships xmlns="http://schemas.openxmlformats.org/package/2006/relationships"><Relationship Id="rId1" Type="http://schemas.openxmlformats.org/officeDocument/2006/relationships/package" Target="../embeddings/Microsoft_Excel_Worksheet41.xlsx"/></Relationships>
</file>

<file path=word/charts/_rels/chart43.xml.rels><?xml version="1.0" encoding="UTF-8" standalone="yes"?>
<Relationships xmlns="http://schemas.openxmlformats.org/package/2006/relationships"><Relationship Id="rId1" Type="http://schemas.openxmlformats.org/officeDocument/2006/relationships/package" Target="../embeddings/Microsoft_Excel_Worksheet42.xlsx"/></Relationships>
</file>

<file path=word/charts/_rels/chart44.xml.rels><?xml version="1.0" encoding="UTF-8" standalone="yes"?>
<Relationships xmlns="http://schemas.openxmlformats.org/package/2006/relationships"><Relationship Id="rId1" Type="http://schemas.openxmlformats.org/officeDocument/2006/relationships/package" Target="../embeddings/Microsoft_Excel_Worksheet43.xlsx"/></Relationships>
</file>

<file path=word/charts/_rels/chart45.xml.rels><?xml version="1.0" encoding="UTF-8" standalone="yes"?>
<Relationships xmlns="http://schemas.openxmlformats.org/package/2006/relationships"><Relationship Id="rId1" Type="http://schemas.openxmlformats.org/officeDocument/2006/relationships/package" Target="../embeddings/Microsoft_Excel_Worksheet44.xlsx"/></Relationships>
</file>

<file path=word/charts/_rels/chart46.xml.rels><?xml version="1.0" encoding="UTF-8" standalone="yes"?>
<Relationships xmlns="http://schemas.openxmlformats.org/package/2006/relationships"><Relationship Id="rId1" Type="http://schemas.openxmlformats.org/officeDocument/2006/relationships/package" Target="../embeddings/Microsoft_Excel_Worksheet45.xlsx"/></Relationships>
</file>

<file path=word/charts/_rels/chart47.xml.rels><?xml version="1.0" encoding="UTF-8" standalone="yes"?>
<Relationships xmlns="http://schemas.openxmlformats.org/package/2006/relationships"><Relationship Id="rId1" Type="http://schemas.openxmlformats.org/officeDocument/2006/relationships/package" Target="../embeddings/Microsoft_Excel_Worksheet46.xlsx"/></Relationships>
</file>

<file path=word/charts/_rels/chart48.xml.rels><?xml version="1.0" encoding="UTF-8" standalone="yes"?>
<Relationships xmlns="http://schemas.openxmlformats.org/package/2006/relationships"><Relationship Id="rId1" Type="http://schemas.openxmlformats.org/officeDocument/2006/relationships/package" Target="../embeddings/Microsoft_Excel_Worksheet47.xlsx"/></Relationships>
</file>

<file path=word/charts/_rels/chart49.xml.rels><?xml version="1.0" encoding="UTF-8" standalone="yes"?>
<Relationships xmlns="http://schemas.openxmlformats.org/package/2006/relationships"><Relationship Id="rId1" Type="http://schemas.openxmlformats.org/officeDocument/2006/relationships/package" Target="../embeddings/Microsoft_Excel_Worksheet48.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0.xml.rels><?xml version="1.0" encoding="UTF-8" standalone="yes"?>
<Relationships xmlns="http://schemas.openxmlformats.org/package/2006/relationships"><Relationship Id="rId1" Type="http://schemas.openxmlformats.org/officeDocument/2006/relationships/package" Target="../embeddings/Microsoft_Excel_Worksheet49.xlsx"/></Relationships>
</file>

<file path=word/charts/_rels/chart51.xml.rels><?xml version="1.0" encoding="UTF-8" standalone="yes"?>
<Relationships xmlns="http://schemas.openxmlformats.org/package/2006/relationships"><Relationship Id="rId1" Type="http://schemas.openxmlformats.org/officeDocument/2006/relationships/package" Target="../embeddings/Microsoft_Excel_Worksheet50.xlsx"/></Relationships>
</file>

<file path=word/charts/_rels/chart52.xml.rels><?xml version="1.0" encoding="UTF-8" standalone="yes"?>
<Relationships xmlns="http://schemas.openxmlformats.org/package/2006/relationships"><Relationship Id="rId1" Type="http://schemas.openxmlformats.org/officeDocument/2006/relationships/package" Target="../embeddings/Microsoft_Excel_Worksheet51.xlsx"/></Relationships>
</file>

<file path=word/charts/_rels/chart53.xml.rels><?xml version="1.0" encoding="UTF-8" standalone="yes"?>
<Relationships xmlns="http://schemas.openxmlformats.org/package/2006/relationships"><Relationship Id="rId1" Type="http://schemas.openxmlformats.org/officeDocument/2006/relationships/package" Target="../embeddings/Microsoft_Excel_Worksheet52.xlsx"/></Relationships>
</file>

<file path=word/charts/_rels/chart54.xml.rels><?xml version="1.0" encoding="UTF-8" standalone="yes"?>
<Relationships xmlns="http://schemas.openxmlformats.org/package/2006/relationships"><Relationship Id="rId1" Type="http://schemas.openxmlformats.org/officeDocument/2006/relationships/package" Target="../embeddings/Microsoft_Excel_Worksheet53.xlsx"/></Relationships>
</file>

<file path=word/charts/_rels/chart55.xml.rels><?xml version="1.0" encoding="UTF-8" standalone="yes"?>
<Relationships xmlns="http://schemas.openxmlformats.org/package/2006/relationships"><Relationship Id="rId1" Type="http://schemas.openxmlformats.org/officeDocument/2006/relationships/package" Target="../embeddings/Microsoft_Excel_Worksheet54.xlsx"/></Relationships>
</file>

<file path=word/charts/_rels/chart56.xml.rels><?xml version="1.0" encoding="UTF-8" standalone="yes"?>
<Relationships xmlns="http://schemas.openxmlformats.org/package/2006/relationships"><Relationship Id="rId1" Type="http://schemas.openxmlformats.org/officeDocument/2006/relationships/package" Target="../embeddings/Microsoft_Excel_Worksheet55.xlsx"/></Relationships>
</file>

<file path=word/charts/_rels/chart57.xml.rels><?xml version="1.0" encoding="UTF-8" standalone="yes"?>
<Relationships xmlns="http://schemas.openxmlformats.org/package/2006/relationships"><Relationship Id="rId1" Type="http://schemas.openxmlformats.org/officeDocument/2006/relationships/package" Target="../embeddings/Microsoft_Excel_Worksheet56.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726450860309418E-2"/>
          <c:y val="5.9930633670791739E-2"/>
          <c:w val="0.73063322761171645"/>
          <c:h val="0.79670978627671563"/>
        </c:manualLayout>
      </c:layout>
      <c:barChart>
        <c:barDir val="col"/>
        <c:grouping val="clustered"/>
        <c:varyColors val="0"/>
        <c:ser>
          <c:idx val="0"/>
          <c:order val="0"/>
          <c:tx>
            <c:strRef>
              <c:f>Лист1!$B$1</c:f>
              <c:strCache>
                <c:ptCount val="1"/>
                <c:pt idx="0">
                  <c:v>ВВП</c:v>
                </c:pt>
              </c:strCache>
            </c:strRef>
          </c:tx>
          <c:invertIfNegative val="0"/>
          <c:cat>
            <c:numRef>
              <c:f>Лист1!$A$2:$A$7</c:f>
              <c:numCache>
                <c:formatCode>General</c:formatCode>
                <c:ptCount val="6"/>
                <c:pt idx="0">
                  <c:v>2015</c:v>
                </c:pt>
                <c:pt idx="1">
                  <c:v>2016</c:v>
                </c:pt>
                <c:pt idx="2">
                  <c:v>2017</c:v>
                </c:pt>
                <c:pt idx="3">
                  <c:v>2018</c:v>
                </c:pt>
                <c:pt idx="4">
                  <c:v>2019</c:v>
                </c:pt>
                <c:pt idx="5">
                  <c:v>2020</c:v>
                </c:pt>
              </c:numCache>
            </c:numRef>
          </c:cat>
          <c:val>
            <c:numRef>
              <c:f>Лист1!$B$2:$B$7</c:f>
              <c:numCache>
                <c:formatCode>General</c:formatCode>
                <c:ptCount val="6"/>
                <c:pt idx="0">
                  <c:v>97.2</c:v>
                </c:pt>
                <c:pt idx="1">
                  <c:v>99.8</c:v>
                </c:pt>
                <c:pt idx="2">
                  <c:v>101.6</c:v>
                </c:pt>
                <c:pt idx="3">
                  <c:v>102.3</c:v>
                </c:pt>
                <c:pt idx="4">
                  <c:v>101.4</c:v>
                </c:pt>
                <c:pt idx="5">
                  <c:v>96.2</c:v>
                </c:pt>
              </c:numCache>
            </c:numRef>
          </c:val>
          <c:extLst>
            <c:ext xmlns:c16="http://schemas.microsoft.com/office/drawing/2014/chart" uri="{C3380CC4-5D6E-409C-BE32-E72D297353CC}">
              <c16:uniqueId val="{00000000-27DF-41DC-B97B-9A9CD6233A9B}"/>
            </c:ext>
          </c:extLst>
        </c:ser>
        <c:ser>
          <c:idx val="1"/>
          <c:order val="1"/>
          <c:tx>
            <c:strRef>
              <c:f>Лист1!$C$1</c:f>
              <c:strCache>
                <c:ptCount val="1"/>
                <c:pt idx="0">
                  <c:v>Инвестиции в основной капитал</c:v>
                </c:pt>
              </c:strCache>
            </c:strRef>
          </c:tx>
          <c:spPr>
            <a:ln>
              <a:solidFill>
                <a:schemeClr val="accent6">
                  <a:lumMod val="75000"/>
                </a:schemeClr>
              </a:solidFill>
            </a:ln>
          </c:spPr>
          <c:invertIfNegative val="0"/>
          <c:cat>
            <c:numRef>
              <c:f>Лист1!$A$2:$A$7</c:f>
              <c:numCache>
                <c:formatCode>General</c:formatCode>
                <c:ptCount val="6"/>
                <c:pt idx="0">
                  <c:v>2015</c:v>
                </c:pt>
                <c:pt idx="1">
                  <c:v>2016</c:v>
                </c:pt>
                <c:pt idx="2">
                  <c:v>2017</c:v>
                </c:pt>
                <c:pt idx="3">
                  <c:v>2018</c:v>
                </c:pt>
                <c:pt idx="4">
                  <c:v>2019</c:v>
                </c:pt>
                <c:pt idx="5">
                  <c:v>2020</c:v>
                </c:pt>
              </c:numCache>
            </c:numRef>
          </c:cat>
          <c:val>
            <c:numRef>
              <c:f>Лист1!$C$2:$C$7</c:f>
              <c:numCache>
                <c:formatCode>General</c:formatCode>
                <c:ptCount val="6"/>
                <c:pt idx="0">
                  <c:v>89.9</c:v>
                </c:pt>
                <c:pt idx="1">
                  <c:v>99.1</c:v>
                </c:pt>
                <c:pt idx="2">
                  <c:v>104.8</c:v>
                </c:pt>
                <c:pt idx="3">
                  <c:v>105.2</c:v>
                </c:pt>
                <c:pt idx="4">
                  <c:v>101.7</c:v>
                </c:pt>
                <c:pt idx="5">
                  <c:v>96</c:v>
                </c:pt>
              </c:numCache>
            </c:numRef>
          </c:val>
          <c:extLst>
            <c:ext xmlns:c16="http://schemas.microsoft.com/office/drawing/2014/chart" uri="{C3380CC4-5D6E-409C-BE32-E72D297353CC}">
              <c16:uniqueId val="{00000001-27DF-41DC-B97B-9A9CD6233A9B}"/>
            </c:ext>
          </c:extLst>
        </c:ser>
        <c:dLbls>
          <c:showLegendKey val="0"/>
          <c:showVal val="0"/>
          <c:showCatName val="0"/>
          <c:showSerName val="0"/>
          <c:showPercent val="0"/>
          <c:showBubbleSize val="0"/>
        </c:dLbls>
        <c:gapWidth val="75"/>
        <c:axId val="449859968"/>
        <c:axId val="449861504"/>
      </c:barChart>
      <c:catAx>
        <c:axId val="449859968"/>
        <c:scaling>
          <c:orientation val="minMax"/>
        </c:scaling>
        <c:delete val="0"/>
        <c:axPos val="b"/>
        <c:numFmt formatCode="General" sourceLinked="1"/>
        <c:majorTickMark val="out"/>
        <c:minorTickMark val="none"/>
        <c:tickLblPos val="nextTo"/>
        <c:txPr>
          <a:bodyPr/>
          <a:lstStyle/>
          <a:p>
            <a:pPr>
              <a:defRPr sz="1100"/>
            </a:pPr>
            <a:endParaRPr lang="ru-RU"/>
          </a:p>
        </c:txPr>
        <c:crossAx val="449861504"/>
        <c:crosses val="autoZero"/>
        <c:auto val="1"/>
        <c:lblAlgn val="ctr"/>
        <c:lblOffset val="100"/>
        <c:noMultiLvlLbl val="0"/>
      </c:catAx>
      <c:valAx>
        <c:axId val="449861504"/>
        <c:scaling>
          <c:orientation val="minMax"/>
          <c:min val="80"/>
        </c:scaling>
        <c:delete val="0"/>
        <c:axPos val="l"/>
        <c:numFmt formatCode="General" sourceLinked="1"/>
        <c:majorTickMark val="out"/>
        <c:minorTickMark val="none"/>
        <c:tickLblPos val="nextTo"/>
        <c:spPr>
          <a:ln>
            <a:prstDash val="solid"/>
          </a:ln>
        </c:spPr>
        <c:crossAx val="449859968"/>
        <c:crosses val="autoZero"/>
        <c:crossBetween val="between"/>
      </c:valAx>
    </c:plotArea>
    <c:legend>
      <c:legendPos val="r"/>
      <c:layout>
        <c:manualLayout>
          <c:xMode val="edge"/>
          <c:yMode val="edge"/>
          <c:x val="0.82102219337668325"/>
          <c:y val="5.6615087293192853E-2"/>
          <c:w val="0.16508884289930409"/>
          <c:h val="0.87765839679509738"/>
        </c:manualLayout>
      </c:layout>
      <c:overlay val="0"/>
      <c:txPr>
        <a:bodyPr/>
        <a:lstStyle/>
        <a:p>
          <a:pPr>
            <a:defRPr sz="1100"/>
          </a:pPr>
          <a:endParaRPr lang="ru-RU"/>
        </a:p>
      </c:txPr>
    </c:legend>
    <c:plotVisOnly val="1"/>
    <c:dispBlanksAs val="gap"/>
    <c:showDLblsOverMax val="0"/>
  </c:chart>
  <c:txPr>
    <a:bodyPr/>
    <a:lstStyle/>
    <a:p>
      <a:pPr>
        <a:defRPr>
          <a:latin typeface="Garamond" panose="02020404030301010803"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066122410653261"/>
          <c:y val="8.9306947684990329E-3"/>
          <c:w val="0.47663771130775834"/>
          <c:h val="0.96826142386067859"/>
        </c:manualLayout>
      </c:layout>
      <c:barChart>
        <c:barDir val="bar"/>
        <c:grouping val="clustered"/>
        <c:varyColors val="0"/>
        <c:ser>
          <c:idx val="0"/>
          <c:order val="0"/>
          <c:tx>
            <c:strRef>
              <c:f>Лист1!$B$1</c:f>
              <c:strCache>
                <c:ptCount val="1"/>
                <c:pt idx="0">
                  <c:v>2019</c:v>
                </c:pt>
              </c:strCache>
            </c:strRef>
          </c:tx>
          <c:invertIfNegative val="0"/>
          <c:dLbls>
            <c:numFmt formatCode="#,##0.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Лист1!$A$2:$A$14</c:f>
              <c:strCache>
                <c:ptCount val="13"/>
                <c:pt idx="0">
                  <c:v>Рост тарифов</c:v>
                </c:pt>
                <c:pt idx="1">
                  <c:v>Избыточно высокие налоги</c:v>
                </c:pt>
                <c:pt idx="2">
                  <c:v>Недостаток квалиф кадров</c:v>
                </c:pt>
                <c:pt idx="3">
                  <c:v>Чрезмерное контрольно-надзорное давление на бизнес</c:v>
                </c:pt>
                <c:pt idx="4">
                  <c:v>Снижение спроса</c:v>
                </c:pt>
                <c:pt idx="5">
                  <c:v>Рост цен производителей</c:v>
                </c:pt>
                <c:pt idx="6">
                  <c:v>Высокие административные барьеры</c:v>
                </c:pt>
                <c:pt idx="7">
                  <c:v>Неэффективная судебная система</c:v>
                </c:pt>
                <c:pt idx="8">
                  <c:v>Сложность с доступом к кредитным ресурсам</c:v>
                </c:pt>
                <c:pt idx="9">
                  <c:v>Низкое качество госуправления</c:v>
                </c:pt>
                <c:pt idx="10">
                  <c:v>Коррупция в органах власти</c:v>
                </c:pt>
                <c:pt idx="11">
                  <c:v>Недобросовестная конкуренция</c:v>
                </c:pt>
                <c:pt idx="12">
                  <c:v>Недостаточная защищённость прав собственности</c:v>
                </c:pt>
              </c:strCache>
            </c:strRef>
          </c:cat>
          <c:val>
            <c:numRef>
              <c:f>Лист1!$B$2:$B$14</c:f>
              <c:numCache>
                <c:formatCode>General</c:formatCode>
                <c:ptCount val="13"/>
                <c:pt idx="0">
                  <c:v>56</c:v>
                </c:pt>
                <c:pt idx="1">
                  <c:v>50.7</c:v>
                </c:pt>
                <c:pt idx="2">
                  <c:v>45</c:v>
                </c:pt>
                <c:pt idx="3">
                  <c:v>34.799999999999997</c:v>
                </c:pt>
                <c:pt idx="4">
                  <c:v>29.8</c:v>
                </c:pt>
                <c:pt idx="5">
                  <c:v>29.4</c:v>
                </c:pt>
                <c:pt idx="6">
                  <c:v>21.3</c:v>
                </c:pt>
                <c:pt idx="7" formatCode="0.0">
                  <c:v>16.3</c:v>
                </c:pt>
                <c:pt idx="8">
                  <c:v>16</c:v>
                </c:pt>
                <c:pt idx="9" formatCode="0.0">
                  <c:v>14.2</c:v>
                </c:pt>
                <c:pt idx="10">
                  <c:v>13.5</c:v>
                </c:pt>
                <c:pt idx="11">
                  <c:v>13.1</c:v>
                </c:pt>
                <c:pt idx="12" formatCode="0.0">
                  <c:v>9.9</c:v>
                </c:pt>
              </c:numCache>
            </c:numRef>
          </c:val>
          <c:extLst>
            <c:ext xmlns:c16="http://schemas.microsoft.com/office/drawing/2014/chart" uri="{C3380CC4-5D6E-409C-BE32-E72D297353CC}">
              <c16:uniqueId val="{00000000-F02A-4FF3-B574-8C958A2E1FCE}"/>
            </c:ext>
          </c:extLst>
        </c:ser>
        <c:ser>
          <c:idx val="1"/>
          <c:order val="1"/>
          <c:tx>
            <c:strRef>
              <c:f>Лист1!$C$1</c:f>
              <c:strCache>
                <c:ptCount val="1"/>
                <c:pt idx="0">
                  <c:v>2018</c:v>
                </c:pt>
              </c:strCache>
            </c:strRef>
          </c:tx>
          <c:invertIfNegative val="0"/>
          <c:dLbls>
            <c:numFmt formatCode="#,##0.0" sourceLinked="0"/>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Лист1!$A$2:$A$14</c:f>
              <c:strCache>
                <c:ptCount val="13"/>
                <c:pt idx="0">
                  <c:v>Рост тарифов</c:v>
                </c:pt>
                <c:pt idx="1">
                  <c:v>Избыточно высокие налоги</c:v>
                </c:pt>
                <c:pt idx="2">
                  <c:v>Недостаток квалиф кадров</c:v>
                </c:pt>
                <c:pt idx="3">
                  <c:v>Чрезмерное контрольно-надзорное давление на бизнес</c:v>
                </c:pt>
                <c:pt idx="4">
                  <c:v>Снижение спроса</c:v>
                </c:pt>
                <c:pt idx="5">
                  <c:v>Рост цен производителей</c:v>
                </c:pt>
                <c:pt idx="6">
                  <c:v>Высокие административные барьеры</c:v>
                </c:pt>
                <c:pt idx="7">
                  <c:v>Неэффективная судебная система</c:v>
                </c:pt>
                <c:pt idx="8">
                  <c:v>Сложность с доступом к кредитным ресурсам</c:v>
                </c:pt>
                <c:pt idx="9">
                  <c:v>Низкое качество госуправления</c:v>
                </c:pt>
                <c:pt idx="10">
                  <c:v>Коррупция в органах власти</c:v>
                </c:pt>
                <c:pt idx="11">
                  <c:v>Недобросовестная конкуренция</c:v>
                </c:pt>
                <c:pt idx="12">
                  <c:v>Недостаточная защищённость прав собственности</c:v>
                </c:pt>
              </c:strCache>
            </c:strRef>
          </c:cat>
          <c:val>
            <c:numRef>
              <c:f>Лист1!$C$2:$C$14</c:f>
              <c:numCache>
                <c:formatCode>General</c:formatCode>
                <c:ptCount val="13"/>
                <c:pt idx="0">
                  <c:v>52</c:v>
                </c:pt>
                <c:pt idx="1">
                  <c:v>44.6</c:v>
                </c:pt>
                <c:pt idx="2">
                  <c:v>37.6</c:v>
                </c:pt>
                <c:pt idx="3">
                  <c:v>30.7</c:v>
                </c:pt>
                <c:pt idx="4">
                  <c:v>20.8</c:v>
                </c:pt>
                <c:pt idx="5">
                  <c:v>36.6</c:v>
                </c:pt>
                <c:pt idx="6">
                  <c:v>19.8</c:v>
                </c:pt>
                <c:pt idx="7" formatCode="0.0">
                  <c:v>14.9</c:v>
                </c:pt>
                <c:pt idx="8">
                  <c:v>17.3</c:v>
                </c:pt>
                <c:pt idx="9" formatCode="0.0">
                  <c:v>10.3</c:v>
                </c:pt>
                <c:pt idx="10">
                  <c:v>19.3</c:v>
                </c:pt>
                <c:pt idx="11">
                  <c:v>22.3</c:v>
                </c:pt>
                <c:pt idx="12" formatCode="0.0">
                  <c:v>11.4</c:v>
                </c:pt>
              </c:numCache>
            </c:numRef>
          </c:val>
          <c:extLst>
            <c:ext xmlns:c16="http://schemas.microsoft.com/office/drawing/2014/chart" uri="{C3380CC4-5D6E-409C-BE32-E72D297353CC}">
              <c16:uniqueId val="{00000001-F02A-4FF3-B574-8C958A2E1FCE}"/>
            </c:ext>
          </c:extLst>
        </c:ser>
        <c:dLbls>
          <c:showLegendKey val="0"/>
          <c:showVal val="1"/>
          <c:showCatName val="0"/>
          <c:showSerName val="0"/>
          <c:showPercent val="0"/>
          <c:showBubbleSize val="0"/>
        </c:dLbls>
        <c:gapWidth val="90"/>
        <c:axId val="236184704"/>
        <c:axId val="236186240"/>
      </c:barChart>
      <c:catAx>
        <c:axId val="236184704"/>
        <c:scaling>
          <c:orientation val="maxMin"/>
        </c:scaling>
        <c:delete val="0"/>
        <c:axPos val="l"/>
        <c:numFmt formatCode="General" sourceLinked="0"/>
        <c:majorTickMark val="none"/>
        <c:minorTickMark val="none"/>
        <c:tickLblPos val="nextTo"/>
        <c:txPr>
          <a:bodyPr rot="0" vert="horz"/>
          <a:lstStyle/>
          <a:p>
            <a:pPr>
              <a:defRPr/>
            </a:pPr>
            <a:endParaRPr lang="ru-RU"/>
          </a:p>
        </c:txPr>
        <c:crossAx val="236186240"/>
        <c:crosses val="autoZero"/>
        <c:auto val="1"/>
        <c:lblAlgn val="ctr"/>
        <c:lblOffset val="100"/>
        <c:noMultiLvlLbl val="0"/>
      </c:catAx>
      <c:valAx>
        <c:axId val="236186240"/>
        <c:scaling>
          <c:orientation val="minMax"/>
        </c:scaling>
        <c:delete val="1"/>
        <c:axPos val="t"/>
        <c:numFmt formatCode="General" sourceLinked="1"/>
        <c:majorTickMark val="out"/>
        <c:minorTickMark val="none"/>
        <c:tickLblPos val="none"/>
        <c:crossAx val="236184704"/>
        <c:crosses val="autoZero"/>
        <c:crossBetween val="between"/>
      </c:valAx>
    </c:plotArea>
    <c:legend>
      <c:legendPos val="t"/>
      <c:layout>
        <c:manualLayout>
          <c:xMode val="edge"/>
          <c:yMode val="edge"/>
          <c:x val="0.67710208392355664"/>
          <c:y val="0.92895937558463815"/>
          <c:w val="0.32094397054534862"/>
          <c:h val="3.9445472497898051E-2"/>
        </c:manualLayout>
      </c:layout>
      <c:overlay val="0"/>
    </c:legend>
    <c:plotVisOnly val="1"/>
    <c:dispBlanksAs val="gap"/>
    <c:showDLblsOverMax val="0"/>
  </c:chart>
  <c:spPr>
    <a:ln>
      <a:solidFill>
        <a:schemeClr val="tx1">
          <a:tint val="75000"/>
          <a:shade val="95000"/>
          <a:satMod val="105000"/>
        </a:schemeClr>
      </a:solidFill>
    </a:ln>
  </c:spPr>
  <c:txPr>
    <a:bodyPr/>
    <a:lstStyle/>
    <a:p>
      <a:pPr>
        <a:defRPr>
          <a:latin typeface="Garamond" panose="02020404030301010803" pitchFamily="18" charset="0"/>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sz="1200"/>
            </a:pPr>
            <a:r>
              <a:rPr lang="ru-RU" sz="1200"/>
              <a:t>Наиболее</a:t>
            </a:r>
            <a:r>
              <a:rPr lang="ru-RU" sz="1200" baseline="0"/>
              <a:t> о</a:t>
            </a:r>
            <a:r>
              <a:rPr lang="ru-RU" sz="1200"/>
              <a:t>стрые проблемы, возникшие у компаний из-за пандемии </a:t>
            </a:r>
            <a:r>
              <a:rPr lang="en-US" sz="1200"/>
              <a:t>Covid-19</a:t>
            </a:r>
            <a:endParaRPr lang="ru-RU" sz="1200"/>
          </a:p>
        </c:rich>
      </c:tx>
      <c:layout>
        <c:manualLayout>
          <c:xMode val="edge"/>
          <c:yMode val="edge"/>
          <c:x val="0.15533541261887721"/>
          <c:y val="0"/>
        </c:manualLayout>
      </c:layout>
      <c:overlay val="0"/>
    </c:title>
    <c:autoTitleDeleted val="0"/>
    <c:plotArea>
      <c:layout>
        <c:manualLayout>
          <c:layoutTarget val="inner"/>
          <c:xMode val="edge"/>
          <c:yMode val="edge"/>
          <c:x val="0.43365528830129985"/>
          <c:y val="0.1416005142214366"/>
          <c:w val="0.54209393400733252"/>
          <c:h val="0.78911171817808679"/>
        </c:manualLayout>
      </c:layout>
      <c:barChart>
        <c:barDir val="bar"/>
        <c:grouping val="clustered"/>
        <c:varyColors val="0"/>
        <c:ser>
          <c:idx val="0"/>
          <c:order val="0"/>
          <c:tx>
            <c:strRef>
              <c:f>Лист1!$B$1</c:f>
              <c:strCache>
                <c:ptCount val="1"/>
                <c:pt idx="0">
                  <c:v>Ряд 1</c:v>
                </c:pt>
              </c:strCache>
            </c:strRef>
          </c:tx>
          <c:invertIfNegative val="0"/>
          <c:dPt>
            <c:idx val="3"/>
            <c:invertIfNegative val="0"/>
            <c:bubble3D val="0"/>
            <c:spPr>
              <a:solidFill>
                <a:srgbClr val="C0504D">
                  <a:alpha val="50000"/>
                </a:srgbClr>
              </a:solidFill>
            </c:spPr>
            <c:extLst>
              <c:ext xmlns:c16="http://schemas.microsoft.com/office/drawing/2014/chart" uri="{C3380CC4-5D6E-409C-BE32-E72D297353CC}">
                <c16:uniqueId val="{00000001-656F-42B8-A96F-7EDF1FC3815D}"/>
              </c:ext>
            </c:extLst>
          </c:dPt>
          <c:dPt>
            <c:idx val="4"/>
            <c:invertIfNegative val="0"/>
            <c:bubble3D val="0"/>
            <c:spPr>
              <a:solidFill>
                <a:srgbClr val="C0504D">
                  <a:alpha val="50000"/>
                </a:srgbClr>
              </a:solidFill>
            </c:spPr>
            <c:extLst>
              <c:ext xmlns:c16="http://schemas.microsoft.com/office/drawing/2014/chart" uri="{C3380CC4-5D6E-409C-BE32-E72D297353CC}">
                <c16:uniqueId val="{00000003-656F-42B8-A96F-7EDF1FC3815D}"/>
              </c:ext>
            </c:extLst>
          </c:dPt>
          <c:dPt>
            <c:idx val="5"/>
            <c:invertIfNegative val="0"/>
            <c:bubble3D val="0"/>
            <c:spPr>
              <a:solidFill>
                <a:srgbClr val="C0504D">
                  <a:alpha val="40000"/>
                </a:srgbClr>
              </a:solidFill>
            </c:spPr>
            <c:extLst>
              <c:ext xmlns:c16="http://schemas.microsoft.com/office/drawing/2014/chart" uri="{C3380CC4-5D6E-409C-BE32-E72D297353CC}">
                <c16:uniqueId val="{00000005-656F-42B8-A96F-7EDF1FC3815D}"/>
              </c:ext>
            </c:extLst>
          </c:dPt>
          <c:dPt>
            <c:idx val="6"/>
            <c:invertIfNegative val="0"/>
            <c:bubble3D val="0"/>
            <c:spPr>
              <a:solidFill>
                <a:srgbClr val="C0504D">
                  <a:alpha val="20000"/>
                </a:srgbClr>
              </a:solidFill>
            </c:spPr>
            <c:extLst>
              <c:ext xmlns:c16="http://schemas.microsoft.com/office/drawing/2014/chart" uri="{C3380CC4-5D6E-409C-BE32-E72D297353CC}">
                <c16:uniqueId val="{00000007-656F-42B8-A96F-7EDF1FC3815D}"/>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Перебои в деятельности контрагентов, невыполнение обязательств с их стороны</c:v>
                </c:pt>
                <c:pt idx="1">
                  <c:v>Резкое снижение спроса</c:v>
                </c:pt>
                <c:pt idx="2">
                  <c:v>Снижение доступности сырья/комплектующих</c:v>
                </c:pt>
                <c:pt idx="3">
                  <c:v>Ненадлежащий поток наличности </c:v>
                </c:pt>
                <c:pt idx="4">
                  <c:v>Отсутствие сотрудников на рабочем месте</c:v>
                </c:pt>
                <c:pt idx="5">
                  <c:v>Другое</c:v>
                </c:pt>
                <c:pt idx="6">
                  <c:v>Отсутствие необходимой документации для оформления операций</c:v>
                </c:pt>
              </c:strCache>
            </c:strRef>
          </c:cat>
          <c:val>
            <c:numRef>
              <c:f>Лист1!$B$2:$B$8</c:f>
              <c:numCache>
                <c:formatCode>###0.0%</c:formatCode>
                <c:ptCount val="7"/>
                <c:pt idx="0">
                  <c:v>0.4926287993508201</c:v>
                </c:pt>
                <c:pt idx="1">
                  <c:v>0.42767845573785701</c:v>
                </c:pt>
                <c:pt idx="2">
                  <c:v>0.37945658726153392</c:v>
                </c:pt>
                <c:pt idx="3">
                  <c:v>0.33230786929650058</c:v>
                </c:pt>
                <c:pt idx="4">
                  <c:v>0.31967919900779063</c:v>
                </c:pt>
                <c:pt idx="5">
                  <c:v>0.21629525113277173</c:v>
                </c:pt>
                <c:pt idx="6">
                  <c:v>0.11523877963444942</c:v>
                </c:pt>
              </c:numCache>
            </c:numRef>
          </c:val>
          <c:extLst>
            <c:ext xmlns:c16="http://schemas.microsoft.com/office/drawing/2014/chart" uri="{C3380CC4-5D6E-409C-BE32-E72D297353CC}">
              <c16:uniqueId val="{00000008-656F-42B8-A96F-7EDF1FC3815D}"/>
            </c:ext>
          </c:extLst>
        </c:ser>
        <c:dLbls>
          <c:showLegendKey val="0"/>
          <c:showVal val="1"/>
          <c:showCatName val="0"/>
          <c:showSerName val="0"/>
          <c:showPercent val="0"/>
          <c:showBubbleSize val="0"/>
        </c:dLbls>
        <c:gapWidth val="75"/>
        <c:axId val="98038912"/>
        <c:axId val="98040448"/>
      </c:barChart>
      <c:catAx>
        <c:axId val="98038912"/>
        <c:scaling>
          <c:orientation val="maxMin"/>
        </c:scaling>
        <c:delete val="0"/>
        <c:axPos val="l"/>
        <c:numFmt formatCode="General" sourceLinked="0"/>
        <c:majorTickMark val="none"/>
        <c:minorTickMark val="none"/>
        <c:tickLblPos val="nextTo"/>
        <c:crossAx val="98040448"/>
        <c:crosses val="autoZero"/>
        <c:auto val="1"/>
        <c:lblAlgn val="ctr"/>
        <c:lblOffset val="100"/>
        <c:noMultiLvlLbl val="0"/>
      </c:catAx>
      <c:valAx>
        <c:axId val="98040448"/>
        <c:scaling>
          <c:orientation val="minMax"/>
        </c:scaling>
        <c:delete val="1"/>
        <c:axPos val="t"/>
        <c:numFmt formatCode="0%" sourceLinked="0"/>
        <c:majorTickMark val="out"/>
        <c:minorTickMark val="none"/>
        <c:tickLblPos val="none"/>
        <c:crossAx val="98038912"/>
        <c:crosses val="autoZero"/>
        <c:crossBetween val="between"/>
      </c:valAx>
    </c:plotArea>
    <c:plotVisOnly val="1"/>
    <c:dispBlanksAs val="gap"/>
    <c:showDLblsOverMax val="0"/>
  </c:chart>
  <c:txPr>
    <a:bodyPr/>
    <a:lstStyle/>
    <a:p>
      <a:pPr>
        <a:defRPr>
          <a:latin typeface="Garamond" pitchFamily="18" charset="0"/>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087999416739616E-2"/>
          <c:y val="4.3279543166638804E-2"/>
          <c:w val="0.97691200058326044"/>
          <c:h val="0.73921983889944864"/>
        </c:manualLayout>
      </c:layout>
      <c:barChart>
        <c:barDir val="col"/>
        <c:grouping val="clustered"/>
        <c:varyColors val="0"/>
        <c:ser>
          <c:idx val="0"/>
          <c:order val="0"/>
          <c:tx>
            <c:strRef>
              <c:f>Лист1!$B$1</c:f>
              <c:strCache>
                <c:ptCount val="1"/>
                <c:pt idx="0">
                  <c:v>2018</c:v>
                </c:pt>
              </c:strCache>
            </c:strRef>
          </c:tx>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Субсидии</c:v>
                </c:pt>
                <c:pt idx="1">
                  <c:v>Пониженные налоговые ставки</c:v>
                </c:pt>
                <c:pt idx="2">
                  <c:v>Нефинансовая поддержка</c:v>
                </c:pt>
                <c:pt idx="3">
                  <c:v>Льготные займы</c:v>
                </c:pt>
                <c:pt idx="4">
                  <c:v>Государственные гарантии</c:v>
                </c:pt>
              </c:strCache>
            </c:strRef>
          </c:cat>
          <c:val>
            <c:numRef>
              <c:f>Лист1!$B$2:$B$6</c:f>
              <c:numCache>
                <c:formatCode>General</c:formatCode>
                <c:ptCount val="5"/>
                <c:pt idx="0">
                  <c:v>71.599999999999994</c:v>
                </c:pt>
                <c:pt idx="1">
                  <c:v>49.3</c:v>
                </c:pt>
                <c:pt idx="2">
                  <c:v>52.2</c:v>
                </c:pt>
                <c:pt idx="3">
                  <c:v>47.1</c:v>
                </c:pt>
                <c:pt idx="4">
                  <c:v>18.5</c:v>
                </c:pt>
              </c:numCache>
            </c:numRef>
          </c:val>
          <c:extLst>
            <c:ext xmlns:c16="http://schemas.microsoft.com/office/drawing/2014/chart" uri="{C3380CC4-5D6E-409C-BE32-E72D297353CC}">
              <c16:uniqueId val="{00000000-0185-4CDF-8D26-41E46B1DE2E8}"/>
            </c:ext>
          </c:extLst>
        </c:ser>
        <c:ser>
          <c:idx val="1"/>
          <c:order val="1"/>
          <c:tx>
            <c:strRef>
              <c:f>Лист1!$C$1</c:f>
              <c:strCache>
                <c:ptCount val="1"/>
                <c:pt idx="0">
                  <c:v>2019</c:v>
                </c:pt>
              </c:strCache>
            </c:strRef>
          </c:tx>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Субсидии</c:v>
                </c:pt>
                <c:pt idx="1">
                  <c:v>Пониженные налоговые ставки</c:v>
                </c:pt>
                <c:pt idx="2">
                  <c:v>Нефинансовая поддержка</c:v>
                </c:pt>
                <c:pt idx="3">
                  <c:v>Льготные займы</c:v>
                </c:pt>
                <c:pt idx="4">
                  <c:v>Государственные гарантии</c:v>
                </c:pt>
              </c:strCache>
            </c:strRef>
          </c:cat>
          <c:val>
            <c:numRef>
              <c:f>Лист1!$C$2:$C$6</c:f>
              <c:numCache>
                <c:formatCode>General</c:formatCode>
                <c:ptCount val="5"/>
                <c:pt idx="0">
                  <c:v>74.099999999999994</c:v>
                </c:pt>
                <c:pt idx="1">
                  <c:v>67</c:v>
                </c:pt>
                <c:pt idx="2">
                  <c:v>56.1</c:v>
                </c:pt>
                <c:pt idx="3">
                  <c:v>50.5</c:v>
                </c:pt>
                <c:pt idx="4">
                  <c:v>26</c:v>
                </c:pt>
              </c:numCache>
            </c:numRef>
          </c:val>
          <c:extLst>
            <c:ext xmlns:c16="http://schemas.microsoft.com/office/drawing/2014/chart" uri="{C3380CC4-5D6E-409C-BE32-E72D297353CC}">
              <c16:uniqueId val="{00000001-0185-4CDF-8D26-41E46B1DE2E8}"/>
            </c:ext>
          </c:extLst>
        </c:ser>
        <c:dLbls>
          <c:showLegendKey val="0"/>
          <c:showVal val="1"/>
          <c:showCatName val="0"/>
          <c:showSerName val="0"/>
          <c:showPercent val="0"/>
          <c:showBubbleSize val="0"/>
        </c:dLbls>
        <c:gapWidth val="90"/>
        <c:axId val="295961344"/>
        <c:axId val="295962880"/>
      </c:barChart>
      <c:catAx>
        <c:axId val="295961344"/>
        <c:scaling>
          <c:orientation val="minMax"/>
        </c:scaling>
        <c:delete val="0"/>
        <c:axPos val="b"/>
        <c:numFmt formatCode="General" sourceLinked="1"/>
        <c:majorTickMark val="none"/>
        <c:minorTickMark val="none"/>
        <c:tickLblPos val="nextTo"/>
        <c:txPr>
          <a:bodyPr rot="0" vert="horz"/>
          <a:lstStyle/>
          <a:p>
            <a:pPr>
              <a:defRPr/>
            </a:pPr>
            <a:endParaRPr lang="ru-RU"/>
          </a:p>
        </c:txPr>
        <c:crossAx val="295962880"/>
        <c:crosses val="autoZero"/>
        <c:auto val="1"/>
        <c:lblAlgn val="ctr"/>
        <c:lblOffset val="100"/>
        <c:noMultiLvlLbl val="0"/>
      </c:catAx>
      <c:valAx>
        <c:axId val="295962880"/>
        <c:scaling>
          <c:orientation val="minMax"/>
        </c:scaling>
        <c:delete val="1"/>
        <c:axPos val="l"/>
        <c:numFmt formatCode="General" sourceLinked="1"/>
        <c:majorTickMark val="out"/>
        <c:minorTickMark val="none"/>
        <c:tickLblPos val="none"/>
        <c:crossAx val="295961344"/>
        <c:crosses val="autoZero"/>
        <c:crossBetween val="between"/>
      </c:valAx>
    </c:plotArea>
    <c:legend>
      <c:legendPos val="t"/>
      <c:layout>
        <c:manualLayout>
          <c:xMode val="edge"/>
          <c:yMode val="edge"/>
          <c:x val="0.67177438757655472"/>
          <c:y val="4.0277953761526895E-2"/>
          <c:w val="0.30858741615631385"/>
          <c:h val="9.7233484112358159E-2"/>
        </c:manualLayout>
      </c:layout>
      <c:overlay val="0"/>
    </c:legend>
    <c:plotVisOnly val="1"/>
    <c:dispBlanksAs val="gap"/>
    <c:showDLblsOverMax val="0"/>
  </c:chart>
  <c:spPr>
    <a:ln>
      <a:solidFill>
        <a:schemeClr val="bg1">
          <a:lumMod val="75000"/>
        </a:schemeClr>
      </a:solidFill>
    </a:ln>
  </c:spPr>
  <c:txPr>
    <a:bodyPr/>
    <a:lstStyle/>
    <a:p>
      <a:pPr>
        <a:defRPr>
          <a:latin typeface="Garamond" panose="02020404030301010803" pitchFamily="18" charset="0"/>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4041473181236962"/>
          <c:y val="4.0114953985182306E-2"/>
          <c:w val="0.55958526818763044"/>
          <c:h val="0.9359727565699868"/>
        </c:manualLayout>
      </c:layout>
      <c:barChart>
        <c:barDir val="bar"/>
        <c:grouping val="clustered"/>
        <c:varyColors val="0"/>
        <c:ser>
          <c:idx val="0"/>
          <c:order val="0"/>
          <c:tx>
            <c:strRef>
              <c:f>Лист1!$B$1</c:f>
              <c:strCache>
                <c:ptCount val="1"/>
                <c:pt idx="0">
                  <c:v>Столбец1</c:v>
                </c:pt>
              </c:strCache>
            </c:strRef>
          </c:tx>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Лист1!$A$2:$A$16</c:f>
              <c:strCache>
                <c:ptCount val="15"/>
                <c:pt idx="0">
                  <c:v>Нефинансовая поддержка</c:v>
                </c:pt>
                <c:pt idx="1">
                  <c:v>Субсидии КИП</c:v>
                </c:pt>
                <c:pt idx="2">
                  <c:v>Субсидии организациям отдельных отраслей</c:v>
                </c:pt>
                <c:pt idx="3">
                  <c:v>Поддержка участия в выставках, ярмарках</c:v>
                </c:pt>
                <c:pt idx="4">
                  <c:v>Займы институтов развития</c:v>
                </c:pt>
                <c:pt idx="5">
                  <c:v>Субсидии затрат на транспортировку продукции, на сертификацию</c:v>
                </c:pt>
                <c:pt idx="6">
                  <c:v>Льготные программы лизинга</c:v>
                </c:pt>
                <c:pt idx="7">
                  <c:v>Субсидии затрат на НИОКР</c:v>
                </c:pt>
                <c:pt idx="8">
                  <c:v>Государственные гарантии</c:v>
                </c:pt>
                <c:pt idx="9">
                  <c:v>Субсидии на инфраструктуру</c:v>
                </c:pt>
                <c:pt idx="10">
                  <c:v>Финансовая поддержка экспортёров</c:v>
                </c:pt>
                <c:pt idx="11">
                  <c:v>Другое</c:v>
                </c:pt>
                <c:pt idx="12">
                  <c:v>Субсидии производства и реализацию пилотных партий</c:v>
                </c:pt>
                <c:pt idx="13">
                  <c:v>Обеспечение доступа к инфраструктуре</c:v>
                </c:pt>
                <c:pt idx="14">
                  <c:v>Программа «Фабрика проектного финансирования»</c:v>
                </c:pt>
              </c:strCache>
            </c:strRef>
          </c:cat>
          <c:val>
            <c:numRef>
              <c:f>Лист1!$B$2:$B$16</c:f>
              <c:numCache>
                <c:formatCode>0.0</c:formatCode>
                <c:ptCount val="15"/>
                <c:pt idx="0">
                  <c:v>28.476821192052981</c:v>
                </c:pt>
                <c:pt idx="1">
                  <c:v>25.827814569536422</c:v>
                </c:pt>
                <c:pt idx="2">
                  <c:v>21.192052980132452</c:v>
                </c:pt>
                <c:pt idx="3">
                  <c:v>18.543046357615893</c:v>
                </c:pt>
                <c:pt idx="4">
                  <c:v>16.556291390728479</c:v>
                </c:pt>
                <c:pt idx="5">
                  <c:v>11.920529801324504</c:v>
                </c:pt>
                <c:pt idx="6">
                  <c:v>10.596026490066226</c:v>
                </c:pt>
                <c:pt idx="7">
                  <c:v>8.6092715231788084</c:v>
                </c:pt>
                <c:pt idx="8">
                  <c:v>8.6092715231788084</c:v>
                </c:pt>
                <c:pt idx="9">
                  <c:v>7.2847682119205297</c:v>
                </c:pt>
                <c:pt idx="10">
                  <c:v>4.6357615894039732</c:v>
                </c:pt>
                <c:pt idx="11">
                  <c:v>4.6357615894039732</c:v>
                </c:pt>
                <c:pt idx="12">
                  <c:v>3.3112582781456954</c:v>
                </c:pt>
                <c:pt idx="13">
                  <c:v>3.3112582781456954</c:v>
                </c:pt>
                <c:pt idx="14">
                  <c:v>0.66225165562913912</c:v>
                </c:pt>
              </c:numCache>
            </c:numRef>
          </c:val>
          <c:extLst>
            <c:ext xmlns:c16="http://schemas.microsoft.com/office/drawing/2014/chart" uri="{C3380CC4-5D6E-409C-BE32-E72D297353CC}">
              <c16:uniqueId val="{00000000-4C03-4634-B551-E39F23F60F13}"/>
            </c:ext>
          </c:extLst>
        </c:ser>
        <c:dLbls>
          <c:showLegendKey val="0"/>
          <c:showVal val="1"/>
          <c:showCatName val="0"/>
          <c:showSerName val="0"/>
          <c:showPercent val="0"/>
          <c:showBubbleSize val="0"/>
        </c:dLbls>
        <c:gapWidth val="75"/>
        <c:axId val="296093184"/>
        <c:axId val="296096128"/>
      </c:barChart>
      <c:catAx>
        <c:axId val="296093184"/>
        <c:scaling>
          <c:orientation val="maxMin"/>
        </c:scaling>
        <c:delete val="0"/>
        <c:axPos val="l"/>
        <c:numFmt formatCode="General" sourceLinked="0"/>
        <c:majorTickMark val="none"/>
        <c:minorTickMark val="none"/>
        <c:tickLblPos val="nextTo"/>
        <c:txPr>
          <a:bodyPr rot="0" vert="horz"/>
          <a:lstStyle/>
          <a:p>
            <a:pPr>
              <a:defRPr sz="1000"/>
            </a:pPr>
            <a:endParaRPr lang="ru-RU"/>
          </a:p>
        </c:txPr>
        <c:crossAx val="296096128"/>
        <c:crosses val="autoZero"/>
        <c:auto val="1"/>
        <c:lblAlgn val="ctr"/>
        <c:lblOffset val="100"/>
        <c:noMultiLvlLbl val="0"/>
      </c:catAx>
      <c:valAx>
        <c:axId val="296096128"/>
        <c:scaling>
          <c:orientation val="minMax"/>
        </c:scaling>
        <c:delete val="1"/>
        <c:axPos val="t"/>
        <c:numFmt formatCode="0.0" sourceLinked="1"/>
        <c:majorTickMark val="out"/>
        <c:minorTickMark val="none"/>
        <c:tickLblPos val="none"/>
        <c:crossAx val="296093184"/>
        <c:crosses val="autoZero"/>
        <c:crossBetween val="between"/>
      </c:valAx>
    </c:plotArea>
    <c:plotVisOnly val="1"/>
    <c:dispBlanksAs val="gap"/>
    <c:showDLblsOverMax val="0"/>
  </c:chart>
  <c:spPr>
    <a:ln>
      <a:solidFill>
        <a:sysClr val="window" lastClr="FFFFFF">
          <a:lumMod val="75000"/>
        </a:sysClr>
      </a:solidFill>
    </a:ln>
  </c:spPr>
  <c:txPr>
    <a:bodyPr/>
    <a:lstStyle/>
    <a:p>
      <a:pPr>
        <a:defRPr>
          <a:latin typeface="Garamond" panose="02020404030301010803" pitchFamily="18" charset="0"/>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0271042318340344"/>
          <c:y val="6.0551009555178149E-2"/>
          <c:w val="0.59728957681659656"/>
          <c:h val="0.93597275656998724"/>
        </c:manualLayout>
      </c:layout>
      <c:barChart>
        <c:barDir val="bar"/>
        <c:grouping val="clustered"/>
        <c:varyColors val="0"/>
        <c:ser>
          <c:idx val="0"/>
          <c:order val="0"/>
          <c:tx>
            <c:strRef>
              <c:f>Лист1!$B$1</c:f>
              <c:strCache>
                <c:ptCount val="1"/>
                <c:pt idx="0">
                  <c:v>Столбец1</c:v>
                </c:pt>
              </c:strCache>
            </c:strRef>
          </c:tx>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Налоговые льготы на имущество</c:v>
                </c:pt>
                <c:pt idx="1">
                  <c:v>Налоговые льготы на прибыль</c:v>
                </c:pt>
                <c:pt idx="2">
                  <c:v>Региональный инвестиционный проект</c:v>
                </c:pt>
                <c:pt idx="3">
                  <c:v>Специальный инвестицинный проект</c:v>
                </c:pt>
                <c:pt idx="4">
                  <c:v>Инвестиционный налоговый вычет</c:v>
                </c:pt>
              </c:strCache>
            </c:strRef>
          </c:cat>
          <c:val>
            <c:numRef>
              <c:f>Лист1!$B$2:$B$6</c:f>
              <c:numCache>
                <c:formatCode>0.0</c:formatCode>
                <c:ptCount val="5"/>
                <c:pt idx="0">
                  <c:v>69</c:v>
                </c:pt>
                <c:pt idx="1">
                  <c:v>56.9</c:v>
                </c:pt>
                <c:pt idx="2">
                  <c:v>8.6</c:v>
                </c:pt>
                <c:pt idx="3">
                  <c:v>8.6</c:v>
                </c:pt>
                <c:pt idx="4">
                  <c:v>5.2</c:v>
                </c:pt>
              </c:numCache>
            </c:numRef>
          </c:val>
          <c:extLst>
            <c:ext xmlns:c16="http://schemas.microsoft.com/office/drawing/2014/chart" uri="{C3380CC4-5D6E-409C-BE32-E72D297353CC}">
              <c16:uniqueId val="{00000000-43E0-453A-8A7F-421FED0F815F}"/>
            </c:ext>
          </c:extLst>
        </c:ser>
        <c:dLbls>
          <c:showLegendKey val="0"/>
          <c:showVal val="1"/>
          <c:showCatName val="0"/>
          <c:showSerName val="0"/>
          <c:showPercent val="0"/>
          <c:showBubbleSize val="0"/>
        </c:dLbls>
        <c:gapWidth val="75"/>
        <c:axId val="296102912"/>
        <c:axId val="296134528"/>
      </c:barChart>
      <c:catAx>
        <c:axId val="296102912"/>
        <c:scaling>
          <c:orientation val="maxMin"/>
        </c:scaling>
        <c:delete val="0"/>
        <c:axPos val="l"/>
        <c:numFmt formatCode="General" sourceLinked="0"/>
        <c:majorTickMark val="none"/>
        <c:minorTickMark val="none"/>
        <c:tickLblPos val="nextTo"/>
        <c:txPr>
          <a:bodyPr rot="0" vert="horz"/>
          <a:lstStyle/>
          <a:p>
            <a:pPr>
              <a:defRPr sz="1000"/>
            </a:pPr>
            <a:endParaRPr lang="ru-RU"/>
          </a:p>
        </c:txPr>
        <c:crossAx val="296134528"/>
        <c:crosses val="autoZero"/>
        <c:auto val="1"/>
        <c:lblAlgn val="ctr"/>
        <c:lblOffset val="100"/>
        <c:noMultiLvlLbl val="0"/>
      </c:catAx>
      <c:valAx>
        <c:axId val="296134528"/>
        <c:scaling>
          <c:orientation val="minMax"/>
        </c:scaling>
        <c:delete val="1"/>
        <c:axPos val="t"/>
        <c:numFmt formatCode="0.0" sourceLinked="1"/>
        <c:majorTickMark val="out"/>
        <c:minorTickMark val="none"/>
        <c:tickLblPos val="none"/>
        <c:crossAx val="296102912"/>
        <c:crosses val="autoZero"/>
        <c:crossBetween val="between"/>
      </c:valAx>
    </c:plotArea>
    <c:plotVisOnly val="1"/>
    <c:dispBlanksAs val="gap"/>
    <c:showDLblsOverMax val="0"/>
  </c:chart>
  <c:spPr>
    <a:ln>
      <a:solidFill>
        <a:sysClr val="window" lastClr="FFFFFF">
          <a:lumMod val="75000"/>
        </a:sysClr>
      </a:solidFill>
    </a:ln>
  </c:spPr>
  <c:txPr>
    <a:bodyPr/>
    <a:lstStyle/>
    <a:p>
      <a:pPr>
        <a:defRPr>
          <a:latin typeface="Garamond" panose="02020404030301010803" pitchFamily="18" charset="0"/>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5709031563362273"/>
          <c:y val="6.0551009555178149E-2"/>
          <c:w val="0.54290972681934679"/>
          <c:h val="0.93597275656998724"/>
        </c:manualLayout>
      </c:layout>
      <c:barChart>
        <c:barDir val="bar"/>
        <c:grouping val="clustered"/>
        <c:varyColors val="0"/>
        <c:ser>
          <c:idx val="0"/>
          <c:order val="0"/>
          <c:tx>
            <c:strRef>
              <c:f>Лист1!$B$1</c:f>
              <c:strCache>
                <c:ptCount val="1"/>
                <c:pt idx="0">
                  <c:v>Столбец1</c:v>
                </c:pt>
              </c:strCache>
            </c:strRef>
          </c:tx>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Банковское кредитование по льготной ставке для субъектов МСП</c:v>
                </c:pt>
                <c:pt idx="1">
                  <c:v>Гранты (на поддержку инновационных, социальных проектов)</c:v>
                </c:pt>
                <c:pt idx="2">
                  <c:v>Субсидии субъектам МСП, а также на поддержку молодёжного предпринимательства</c:v>
                </c:pt>
                <c:pt idx="3">
                  <c:v>Гарантийная поддержка субъектов МСП</c:v>
                </c:pt>
              </c:strCache>
            </c:strRef>
          </c:cat>
          <c:val>
            <c:numRef>
              <c:f>Лист1!$B$2:$B$5</c:f>
              <c:numCache>
                <c:formatCode>0.0</c:formatCode>
                <c:ptCount val="4"/>
                <c:pt idx="0">
                  <c:v>51.6</c:v>
                </c:pt>
                <c:pt idx="1">
                  <c:v>29</c:v>
                </c:pt>
                <c:pt idx="2">
                  <c:v>25.8</c:v>
                </c:pt>
                <c:pt idx="3">
                  <c:v>22.6</c:v>
                </c:pt>
              </c:numCache>
            </c:numRef>
          </c:val>
          <c:extLst>
            <c:ext xmlns:c16="http://schemas.microsoft.com/office/drawing/2014/chart" uri="{C3380CC4-5D6E-409C-BE32-E72D297353CC}">
              <c16:uniqueId val="{00000000-C566-4C73-AABA-A75E6515C648}"/>
            </c:ext>
          </c:extLst>
        </c:ser>
        <c:dLbls>
          <c:showLegendKey val="0"/>
          <c:showVal val="1"/>
          <c:showCatName val="0"/>
          <c:showSerName val="0"/>
          <c:showPercent val="0"/>
          <c:showBubbleSize val="0"/>
        </c:dLbls>
        <c:gapWidth val="75"/>
        <c:axId val="296383232"/>
        <c:axId val="296385920"/>
      </c:barChart>
      <c:catAx>
        <c:axId val="296383232"/>
        <c:scaling>
          <c:orientation val="maxMin"/>
        </c:scaling>
        <c:delete val="0"/>
        <c:axPos val="l"/>
        <c:numFmt formatCode="General" sourceLinked="0"/>
        <c:majorTickMark val="none"/>
        <c:minorTickMark val="none"/>
        <c:tickLblPos val="nextTo"/>
        <c:txPr>
          <a:bodyPr rot="0" vert="horz"/>
          <a:lstStyle/>
          <a:p>
            <a:pPr>
              <a:defRPr sz="1000"/>
            </a:pPr>
            <a:endParaRPr lang="ru-RU"/>
          </a:p>
        </c:txPr>
        <c:crossAx val="296385920"/>
        <c:crosses val="autoZero"/>
        <c:auto val="1"/>
        <c:lblAlgn val="ctr"/>
        <c:lblOffset val="100"/>
        <c:noMultiLvlLbl val="0"/>
      </c:catAx>
      <c:valAx>
        <c:axId val="296385920"/>
        <c:scaling>
          <c:orientation val="minMax"/>
        </c:scaling>
        <c:delete val="1"/>
        <c:axPos val="t"/>
        <c:numFmt formatCode="0.0" sourceLinked="1"/>
        <c:majorTickMark val="out"/>
        <c:minorTickMark val="none"/>
        <c:tickLblPos val="none"/>
        <c:crossAx val="296383232"/>
        <c:crosses val="autoZero"/>
        <c:crossBetween val="between"/>
      </c:valAx>
    </c:plotArea>
    <c:plotVisOnly val="1"/>
    <c:dispBlanksAs val="gap"/>
    <c:showDLblsOverMax val="0"/>
  </c:chart>
  <c:spPr>
    <a:ln>
      <a:solidFill>
        <a:sysClr val="window" lastClr="FFFFFF">
          <a:lumMod val="75000"/>
        </a:sysClr>
      </a:solidFill>
    </a:ln>
  </c:spPr>
  <c:txPr>
    <a:bodyPr/>
    <a:lstStyle/>
    <a:p>
      <a:pPr>
        <a:defRPr>
          <a:latin typeface="Garamond" panose="02020404030301010803" pitchFamily="18" charset="0"/>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7280448044961204"/>
          <c:y val="4.8331190221261394E-2"/>
          <c:w val="0.5034151325309737"/>
          <c:h val="0.94145053929811862"/>
        </c:manualLayout>
      </c:layout>
      <c:barChart>
        <c:barDir val="bar"/>
        <c:grouping val="clustered"/>
        <c:varyColors val="0"/>
        <c:ser>
          <c:idx val="0"/>
          <c:order val="0"/>
          <c:tx>
            <c:strRef>
              <c:f>Лист1!$B$1</c:f>
              <c:strCache>
                <c:ptCount val="1"/>
                <c:pt idx="0">
                  <c:v>2019</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Лист1!$A$2:$A$22</c:f>
              <c:strCache>
                <c:ptCount val="21"/>
                <c:pt idx="0">
                  <c:v>Фонд развития промышленности </c:v>
                </c:pt>
                <c:pt idx="1">
                  <c:v>Росэксимбанк/ЭКСАР/Российский экспортный центр</c:v>
                </c:pt>
                <c:pt idx="2">
                  <c:v>Региональный ФРП</c:v>
                </c:pt>
                <c:pt idx="3">
                  <c:v>Фонд поддержки (развития) МСП региона</c:v>
                </c:pt>
                <c:pt idx="4">
                  <c:v>Корпорация МСП</c:v>
                </c:pt>
                <c:pt idx="5">
                  <c:v>Особые экономические зоны</c:v>
                </c:pt>
                <c:pt idx="6">
                  <c:v>Сколково</c:v>
                </c:pt>
                <c:pt idx="7">
                  <c:v>Территории опережающего социально-экономического развития</c:v>
                </c:pt>
                <c:pt idx="8">
                  <c:v>Индустриальные парки, промкластеры</c:v>
                </c:pt>
                <c:pt idx="9">
                  <c:v>ВЭБ.РФ</c:v>
                </c:pt>
                <c:pt idx="10">
                  <c:v>МСП Банк</c:v>
                </c:pt>
                <c:pt idx="11">
                  <c:v>Фонд поддержки моногородов</c:v>
                </c:pt>
                <c:pt idx="12">
                  <c:v>Агентство (корпорация / дирекция) развития региона</c:v>
                </c:pt>
                <c:pt idx="13">
                  <c:v>Фонд содействия инновациям</c:v>
                </c:pt>
                <c:pt idx="14">
                  <c:v>Российский фонд прямых инвестиций </c:v>
                </c:pt>
                <c:pt idx="15">
                  <c:v>Региональные гарантийные организации</c:v>
                </c:pt>
                <c:pt idx="16">
                  <c:v>Агентство по технологическому развитию</c:v>
                </c:pt>
                <c:pt idx="17">
                  <c:v>РВК</c:v>
                </c:pt>
                <c:pt idx="18">
                  <c:v>РОСНАНО</c:v>
                </c:pt>
                <c:pt idx="19">
                  <c:v>Фонд развития Дальнего Востока и Байкальского региона</c:v>
                </c:pt>
                <c:pt idx="20">
                  <c:v>Росинфокоминвест</c:v>
                </c:pt>
              </c:strCache>
            </c:strRef>
          </c:cat>
          <c:val>
            <c:numRef>
              <c:f>Лист1!$B$2:$B$22</c:f>
              <c:numCache>
                <c:formatCode>0.0</c:formatCode>
                <c:ptCount val="21"/>
                <c:pt idx="0">
                  <c:v>45.7</c:v>
                </c:pt>
                <c:pt idx="1">
                  <c:v>27.2</c:v>
                </c:pt>
                <c:pt idx="2">
                  <c:v>21</c:v>
                </c:pt>
                <c:pt idx="3">
                  <c:v>14.8</c:v>
                </c:pt>
                <c:pt idx="4">
                  <c:v>12.3</c:v>
                </c:pt>
                <c:pt idx="5">
                  <c:v>12.3</c:v>
                </c:pt>
                <c:pt idx="6">
                  <c:v>11.1</c:v>
                </c:pt>
                <c:pt idx="7">
                  <c:v>8.6</c:v>
                </c:pt>
                <c:pt idx="8">
                  <c:v>8.6</c:v>
                </c:pt>
                <c:pt idx="9">
                  <c:v>7.4</c:v>
                </c:pt>
                <c:pt idx="10">
                  <c:v>6.2</c:v>
                </c:pt>
                <c:pt idx="11">
                  <c:v>6.2</c:v>
                </c:pt>
                <c:pt idx="12">
                  <c:v>6.2</c:v>
                </c:pt>
                <c:pt idx="13">
                  <c:v>6.2</c:v>
                </c:pt>
                <c:pt idx="14">
                  <c:v>3.7</c:v>
                </c:pt>
                <c:pt idx="15">
                  <c:v>3.7</c:v>
                </c:pt>
                <c:pt idx="16">
                  <c:v>2.8</c:v>
                </c:pt>
                <c:pt idx="17">
                  <c:v>2.5</c:v>
                </c:pt>
                <c:pt idx="18">
                  <c:v>1.2</c:v>
                </c:pt>
                <c:pt idx="19">
                  <c:v>1.2</c:v>
                </c:pt>
                <c:pt idx="20">
                  <c:v>0</c:v>
                </c:pt>
              </c:numCache>
            </c:numRef>
          </c:val>
          <c:extLst>
            <c:ext xmlns:c16="http://schemas.microsoft.com/office/drawing/2014/chart" uri="{C3380CC4-5D6E-409C-BE32-E72D297353CC}">
              <c16:uniqueId val="{00000000-B97F-42A1-90E8-A1474D273EF0}"/>
            </c:ext>
          </c:extLst>
        </c:ser>
        <c:ser>
          <c:idx val="1"/>
          <c:order val="1"/>
          <c:tx>
            <c:strRef>
              <c:f>Лист1!$C$1</c:f>
              <c:strCache>
                <c:ptCount val="1"/>
                <c:pt idx="0">
                  <c:v>2018</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Лист1!$A$2:$A$22</c:f>
              <c:strCache>
                <c:ptCount val="21"/>
                <c:pt idx="0">
                  <c:v>Фонд развития промышленности </c:v>
                </c:pt>
                <c:pt idx="1">
                  <c:v>Росэксимбанк/ЭКСАР/Российский экспортный центр</c:v>
                </c:pt>
                <c:pt idx="2">
                  <c:v>Региональный ФРП</c:v>
                </c:pt>
                <c:pt idx="3">
                  <c:v>Фонд поддержки (развития) МСП региона</c:v>
                </c:pt>
                <c:pt idx="4">
                  <c:v>Корпорация МСП</c:v>
                </c:pt>
                <c:pt idx="5">
                  <c:v>Особые экономические зоны</c:v>
                </c:pt>
                <c:pt idx="6">
                  <c:v>Сколково</c:v>
                </c:pt>
                <c:pt idx="7">
                  <c:v>Территории опережающего социально-экономического развития</c:v>
                </c:pt>
                <c:pt idx="8">
                  <c:v>Индустриальные парки, промкластеры</c:v>
                </c:pt>
                <c:pt idx="9">
                  <c:v>ВЭБ.РФ</c:v>
                </c:pt>
                <c:pt idx="10">
                  <c:v>МСП Банк</c:v>
                </c:pt>
                <c:pt idx="11">
                  <c:v>Фонд поддержки моногородов</c:v>
                </c:pt>
                <c:pt idx="12">
                  <c:v>Агентство (корпорация / дирекция) развития региона</c:v>
                </c:pt>
                <c:pt idx="13">
                  <c:v>Фонд содействия инновациям</c:v>
                </c:pt>
                <c:pt idx="14">
                  <c:v>Российский фонд прямых инвестиций </c:v>
                </c:pt>
                <c:pt idx="15">
                  <c:v>Региональные гарантийные организации</c:v>
                </c:pt>
                <c:pt idx="16">
                  <c:v>Агентство по технологическому развитию</c:v>
                </c:pt>
                <c:pt idx="17">
                  <c:v>РВК</c:v>
                </c:pt>
                <c:pt idx="18">
                  <c:v>РОСНАНО</c:v>
                </c:pt>
                <c:pt idx="19">
                  <c:v>Фонд развития Дальнего Востока и Байкальского региона</c:v>
                </c:pt>
                <c:pt idx="20">
                  <c:v>Росинфокоминвест</c:v>
                </c:pt>
              </c:strCache>
            </c:strRef>
          </c:cat>
          <c:val>
            <c:numRef>
              <c:f>Лист1!$C$2:$C$22</c:f>
              <c:numCache>
                <c:formatCode>0.0</c:formatCode>
                <c:ptCount val="21"/>
                <c:pt idx="0">
                  <c:v>43.1</c:v>
                </c:pt>
                <c:pt idx="1">
                  <c:v>15.3</c:v>
                </c:pt>
                <c:pt idx="2">
                  <c:v>19.399999999999999</c:v>
                </c:pt>
                <c:pt idx="3">
                  <c:v>26.4</c:v>
                </c:pt>
                <c:pt idx="4">
                  <c:v>9.7000000000000011</c:v>
                </c:pt>
                <c:pt idx="5">
                  <c:v>5.6</c:v>
                </c:pt>
                <c:pt idx="6">
                  <c:v>9.7000000000000011</c:v>
                </c:pt>
                <c:pt idx="7">
                  <c:v>11.1</c:v>
                </c:pt>
                <c:pt idx="9">
                  <c:v>13.9</c:v>
                </c:pt>
                <c:pt idx="10">
                  <c:v>6.9</c:v>
                </c:pt>
                <c:pt idx="11">
                  <c:v>8.3000000000000007</c:v>
                </c:pt>
                <c:pt idx="12">
                  <c:v>3</c:v>
                </c:pt>
                <c:pt idx="13">
                  <c:v>9.7000000000000011</c:v>
                </c:pt>
                <c:pt idx="14">
                  <c:v>2.8</c:v>
                </c:pt>
                <c:pt idx="16">
                  <c:v>1.2</c:v>
                </c:pt>
                <c:pt idx="17">
                  <c:v>2.8</c:v>
                </c:pt>
                <c:pt idx="18">
                  <c:v>6.9</c:v>
                </c:pt>
                <c:pt idx="19">
                  <c:v>0</c:v>
                </c:pt>
                <c:pt idx="20">
                  <c:v>0</c:v>
                </c:pt>
              </c:numCache>
            </c:numRef>
          </c:val>
          <c:extLst>
            <c:ext xmlns:c16="http://schemas.microsoft.com/office/drawing/2014/chart" uri="{C3380CC4-5D6E-409C-BE32-E72D297353CC}">
              <c16:uniqueId val="{00000001-B97F-42A1-90E8-A1474D273EF0}"/>
            </c:ext>
          </c:extLst>
        </c:ser>
        <c:dLbls>
          <c:showLegendKey val="0"/>
          <c:showVal val="0"/>
          <c:showCatName val="0"/>
          <c:showSerName val="0"/>
          <c:showPercent val="0"/>
          <c:showBubbleSize val="0"/>
        </c:dLbls>
        <c:gapWidth val="75"/>
        <c:axId val="296245120"/>
        <c:axId val="296246656"/>
      </c:barChart>
      <c:catAx>
        <c:axId val="296245120"/>
        <c:scaling>
          <c:orientation val="maxMin"/>
        </c:scaling>
        <c:delete val="0"/>
        <c:axPos val="l"/>
        <c:numFmt formatCode="General" sourceLinked="0"/>
        <c:majorTickMark val="none"/>
        <c:minorTickMark val="none"/>
        <c:tickLblPos val="nextTo"/>
        <c:txPr>
          <a:bodyPr rot="0" vert="horz"/>
          <a:lstStyle/>
          <a:p>
            <a:pPr>
              <a:defRPr/>
            </a:pPr>
            <a:endParaRPr lang="ru-RU"/>
          </a:p>
        </c:txPr>
        <c:crossAx val="296246656"/>
        <c:crosses val="autoZero"/>
        <c:auto val="1"/>
        <c:lblAlgn val="ctr"/>
        <c:lblOffset val="100"/>
        <c:noMultiLvlLbl val="0"/>
      </c:catAx>
      <c:valAx>
        <c:axId val="296246656"/>
        <c:scaling>
          <c:orientation val="minMax"/>
        </c:scaling>
        <c:delete val="0"/>
        <c:axPos val="t"/>
        <c:numFmt formatCode="0.0" sourceLinked="1"/>
        <c:majorTickMark val="none"/>
        <c:minorTickMark val="none"/>
        <c:tickLblPos val="none"/>
        <c:spPr>
          <a:ln w="9525">
            <a:noFill/>
          </a:ln>
        </c:spPr>
        <c:crossAx val="296245120"/>
        <c:crosses val="autoZero"/>
        <c:crossBetween val="between"/>
      </c:valAx>
    </c:plotArea>
    <c:legend>
      <c:legendPos val="b"/>
      <c:layout>
        <c:manualLayout>
          <c:xMode val="edge"/>
          <c:yMode val="edge"/>
          <c:x val="0.47046491252409384"/>
          <c:y val="5.2511978618157438E-3"/>
          <c:w val="0.14986801629867214"/>
          <c:h val="3.1856139550221672E-2"/>
        </c:manualLayout>
      </c:layout>
      <c:overlay val="0"/>
    </c:legend>
    <c:plotVisOnly val="1"/>
    <c:dispBlanksAs val="gap"/>
    <c:showDLblsOverMax val="0"/>
  </c:chart>
  <c:spPr>
    <a:ln>
      <a:solidFill>
        <a:sysClr val="window" lastClr="FFFFFF">
          <a:lumMod val="75000"/>
        </a:sysClr>
      </a:solidFill>
    </a:ln>
  </c:spPr>
  <c:txPr>
    <a:bodyPr/>
    <a:lstStyle/>
    <a:p>
      <a:pPr>
        <a:defRPr>
          <a:latin typeface="Garamond" panose="02020404030301010803" pitchFamily="18" charset="0"/>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0763388618975824"/>
          <c:y val="8.7932246174146272E-2"/>
          <c:w val="0.46836174938034603"/>
          <c:h val="0.87199489408086395"/>
        </c:manualLayout>
      </c:layout>
      <c:barChart>
        <c:barDir val="bar"/>
        <c:grouping val="clustered"/>
        <c:varyColors val="0"/>
        <c:ser>
          <c:idx val="0"/>
          <c:order val="0"/>
          <c:tx>
            <c:strRef>
              <c:f>Лист1!$B$1</c:f>
              <c:strCache>
                <c:ptCount val="1"/>
                <c:pt idx="0">
                  <c:v>2019</c:v>
                </c:pt>
              </c:strCache>
            </c:strRef>
          </c:tx>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Сложные процедуры получения и отчетности</c:v>
                </c:pt>
                <c:pt idx="1">
                  <c:v>Неадекватные требования и критерии предоставления поддержки</c:v>
                </c:pt>
                <c:pt idx="2">
                  <c:v>У компании нет необходимости в получении господдержки</c:v>
                </c:pt>
                <c:pt idx="3">
                  <c:v>Неясность правил получения поддержки и/или частая смена</c:v>
                </c:pt>
                <c:pt idx="4">
                  <c:v>Отсутствие релевантной информации о работе институтов развития</c:v>
                </c:pt>
                <c:pt idx="5">
                  <c:v>Отсутствие доверия к господдержке в любой форме</c:v>
                </c:pt>
                <c:pt idx="6">
                  <c:v>Человеческий фактор</c:v>
                </c:pt>
                <c:pt idx="7">
                  <c:v>Недостаточность поддержки, нехватка необходимых средств у институтов развития</c:v>
                </c:pt>
              </c:strCache>
            </c:strRef>
          </c:cat>
          <c:val>
            <c:numRef>
              <c:f>Лист1!$B$2:$B$9</c:f>
              <c:numCache>
                <c:formatCode>0.0</c:formatCode>
                <c:ptCount val="8"/>
                <c:pt idx="0">
                  <c:v>57.9</c:v>
                </c:pt>
                <c:pt idx="1">
                  <c:v>41.3</c:v>
                </c:pt>
                <c:pt idx="2">
                  <c:v>26.2</c:v>
                </c:pt>
                <c:pt idx="3">
                  <c:v>26.2</c:v>
                </c:pt>
                <c:pt idx="4">
                  <c:v>24.5</c:v>
                </c:pt>
                <c:pt idx="5">
                  <c:v>21.4</c:v>
                </c:pt>
                <c:pt idx="6">
                  <c:v>15.1</c:v>
                </c:pt>
                <c:pt idx="7">
                  <c:v>10.3</c:v>
                </c:pt>
              </c:numCache>
            </c:numRef>
          </c:val>
          <c:extLst>
            <c:ext xmlns:c16="http://schemas.microsoft.com/office/drawing/2014/chart" uri="{C3380CC4-5D6E-409C-BE32-E72D297353CC}">
              <c16:uniqueId val="{00000000-16E1-4788-B8EA-A640C7D41BF8}"/>
            </c:ext>
          </c:extLst>
        </c:ser>
        <c:ser>
          <c:idx val="1"/>
          <c:order val="1"/>
          <c:tx>
            <c:strRef>
              <c:f>Лист1!$C$1</c:f>
              <c:strCache>
                <c:ptCount val="1"/>
                <c:pt idx="0">
                  <c:v>2018</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Сложные процедуры получения и отчетности</c:v>
                </c:pt>
                <c:pt idx="1">
                  <c:v>Неадекватные требования и критерии предоставления поддержки</c:v>
                </c:pt>
                <c:pt idx="2">
                  <c:v>У компании нет необходимости в получении господдержки</c:v>
                </c:pt>
                <c:pt idx="3">
                  <c:v>Неясность правил получения поддержки и/или частая смена</c:v>
                </c:pt>
                <c:pt idx="4">
                  <c:v>Отсутствие релевантной информации о работе институтов развития</c:v>
                </c:pt>
                <c:pt idx="5">
                  <c:v>Отсутствие доверия к господдержке в любой форме</c:v>
                </c:pt>
                <c:pt idx="6">
                  <c:v>Человеческий фактор</c:v>
                </c:pt>
                <c:pt idx="7">
                  <c:v>Недостаточность поддержки, нехватка необходимых средств у институтов развития</c:v>
                </c:pt>
              </c:strCache>
            </c:strRef>
          </c:cat>
          <c:val>
            <c:numRef>
              <c:f>Лист1!$C$2:$C$9</c:f>
              <c:numCache>
                <c:formatCode>0.0</c:formatCode>
                <c:ptCount val="8"/>
                <c:pt idx="0">
                  <c:v>55.1</c:v>
                </c:pt>
                <c:pt idx="1">
                  <c:v>29</c:v>
                </c:pt>
                <c:pt idx="2">
                  <c:v>24.3</c:v>
                </c:pt>
                <c:pt idx="4">
                  <c:v>24.5</c:v>
                </c:pt>
                <c:pt idx="5">
                  <c:v>22.4</c:v>
                </c:pt>
                <c:pt idx="6">
                  <c:v>26.2</c:v>
                </c:pt>
                <c:pt idx="7">
                  <c:v>10.3</c:v>
                </c:pt>
              </c:numCache>
            </c:numRef>
          </c:val>
          <c:extLst>
            <c:ext xmlns:c16="http://schemas.microsoft.com/office/drawing/2014/chart" uri="{C3380CC4-5D6E-409C-BE32-E72D297353CC}">
              <c16:uniqueId val="{00000001-16E1-4788-B8EA-A640C7D41BF8}"/>
            </c:ext>
          </c:extLst>
        </c:ser>
        <c:dLbls>
          <c:showLegendKey val="0"/>
          <c:showVal val="1"/>
          <c:showCatName val="0"/>
          <c:showSerName val="0"/>
          <c:showPercent val="0"/>
          <c:showBubbleSize val="0"/>
        </c:dLbls>
        <c:gapWidth val="70"/>
        <c:axId val="296268544"/>
        <c:axId val="296270080"/>
      </c:barChart>
      <c:catAx>
        <c:axId val="296268544"/>
        <c:scaling>
          <c:orientation val="maxMin"/>
        </c:scaling>
        <c:delete val="0"/>
        <c:axPos val="l"/>
        <c:numFmt formatCode="General" sourceLinked="0"/>
        <c:majorTickMark val="none"/>
        <c:minorTickMark val="none"/>
        <c:tickLblPos val="nextTo"/>
        <c:txPr>
          <a:bodyPr rot="0" vert="horz"/>
          <a:lstStyle/>
          <a:p>
            <a:pPr>
              <a:defRPr/>
            </a:pPr>
            <a:endParaRPr lang="ru-RU"/>
          </a:p>
        </c:txPr>
        <c:crossAx val="296270080"/>
        <c:crosses val="autoZero"/>
        <c:auto val="1"/>
        <c:lblAlgn val="ctr"/>
        <c:lblOffset val="100"/>
        <c:noMultiLvlLbl val="0"/>
      </c:catAx>
      <c:valAx>
        <c:axId val="296270080"/>
        <c:scaling>
          <c:orientation val="minMax"/>
        </c:scaling>
        <c:delete val="1"/>
        <c:axPos val="t"/>
        <c:numFmt formatCode="0.0" sourceLinked="1"/>
        <c:majorTickMark val="out"/>
        <c:minorTickMark val="none"/>
        <c:tickLblPos val="none"/>
        <c:crossAx val="296268544"/>
        <c:crosses val="autoZero"/>
        <c:crossBetween val="between"/>
      </c:valAx>
    </c:plotArea>
    <c:legend>
      <c:legendPos val="t"/>
      <c:overlay val="0"/>
    </c:legend>
    <c:plotVisOnly val="1"/>
    <c:dispBlanksAs val="gap"/>
    <c:showDLblsOverMax val="0"/>
  </c:chart>
  <c:spPr>
    <a:ln>
      <a:solidFill>
        <a:sysClr val="window" lastClr="FFFFFF">
          <a:lumMod val="75000"/>
        </a:sysClr>
      </a:solidFill>
    </a:ln>
  </c:spPr>
  <c:txPr>
    <a:bodyPr/>
    <a:lstStyle/>
    <a:p>
      <a:pPr>
        <a:defRPr>
          <a:latin typeface="Garamond" panose="02020404030301010803" pitchFamily="18" charset="0"/>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924326971403536"/>
          <c:y val="8.0646271675057044E-2"/>
          <c:w val="0.61020572101155113"/>
          <c:h val="0.87199489408086428"/>
        </c:manualLayout>
      </c:layout>
      <c:barChart>
        <c:barDir val="bar"/>
        <c:grouping val="clustered"/>
        <c:varyColors val="0"/>
        <c:ser>
          <c:idx val="0"/>
          <c:order val="0"/>
          <c:tx>
            <c:strRef>
              <c:f>Лист1!$B$1</c:f>
              <c:strCache>
                <c:ptCount val="1"/>
                <c:pt idx="0">
                  <c:v>компании</c:v>
                </c:pt>
              </c:strCache>
            </c:strRef>
          </c:tx>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Налоговые льготы</c:v>
                </c:pt>
                <c:pt idx="1">
                  <c:v>Льготные займы</c:v>
                </c:pt>
                <c:pt idx="2">
                  <c:v>Субсидии</c:v>
                </c:pt>
                <c:pt idx="3">
                  <c:v>Госзакупки</c:v>
                </c:pt>
                <c:pt idx="4">
                  <c:v>Государственно-частное партнёрство</c:v>
                </c:pt>
                <c:pt idx="5">
                  <c:v>Нефинансовая поддержка</c:v>
                </c:pt>
              </c:strCache>
            </c:strRef>
          </c:cat>
          <c:val>
            <c:numRef>
              <c:f>Лист1!$B$2:$B$7</c:f>
              <c:numCache>
                <c:formatCode>0.0</c:formatCode>
                <c:ptCount val="6"/>
                <c:pt idx="0">
                  <c:v>59.6</c:v>
                </c:pt>
                <c:pt idx="1">
                  <c:v>49.6</c:v>
                </c:pt>
                <c:pt idx="2">
                  <c:v>43.2</c:v>
                </c:pt>
                <c:pt idx="3">
                  <c:v>24</c:v>
                </c:pt>
                <c:pt idx="4">
                  <c:v>13.2</c:v>
                </c:pt>
                <c:pt idx="5">
                  <c:v>13.2</c:v>
                </c:pt>
              </c:numCache>
            </c:numRef>
          </c:val>
          <c:extLst>
            <c:ext xmlns:c16="http://schemas.microsoft.com/office/drawing/2014/chart" uri="{C3380CC4-5D6E-409C-BE32-E72D297353CC}">
              <c16:uniqueId val="{00000000-03C2-4F30-A7E1-668F5C8D5F8C}"/>
            </c:ext>
          </c:extLst>
        </c:ser>
        <c:ser>
          <c:idx val="1"/>
          <c:order val="1"/>
          <c:tx>
            <c:strRef>
              <c:f>Лист1!$C$1</c:f>
              <c:strCache>
                <c:ptCount val="1"/>
                <c:pt idx="0">
                  <c:v>ускорения экономического роста, в целом</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Налоговые льготы</c:v>
                </c:pt>
                <c:pt idx="1">
                  <c:v>Льготные займы</c:v>
                </c:pt>
                <c:pt idx="2">
                  <c:v>Субсидии</c:v>
                </c:pt>
                <c:pt idx="3">
                  <c:v>Госзакупки</c:v>
                </c:pt>
                <c:pt idx="4">
                  <c:v>Государственно-частное партнёрство</c:v>
                </c:pt>
                <c:pt idx="5">
                  <c:v>Нефинансовая поддержка</c:v>
                </c:pt>
              </c:strCache>
            </c:strRef>
          </c:cat>
          <c:val>
            <c:numRef>
              <c:f>Лист1!$C$2:$C$7</c:f>
              <c:numCache>
                <c:formatCode>0.0</c:formatCode>
                <c:ptCount val="6"/>
                <c:pt idx="0">
                  <c:v>70.599999999999994</c:v>
                </c:pt>
                <c:pt idx="1">
                  <c:v>53.4</c:v>
                </c:pt>
                <c:pt idx="2">
                  <c:v>35.300000000000004</c:v>
                </c:pt>
                <c:pt idx="3">
                  <c:v>21.3</c:v>
                </c:pt>
                <c:pt idx="4">
                  <c:v>20.8</c:v>
                </c:pt>
                <c:pt idx="5">
                  <c:v>14.5</c:v>
                </c:pt>
              </c:numCache>
            </c:numRef>
          </c:val>
          <c:extLst>
            <c:ext xmlns:c16="http://schemas.microsoft.com/office/drawing/2014/chart" uri="{C3380CC4-5D6E-409C-BE32-E72D297353CC}">
              <c16:uniqueId val="{00000001-03C2-4F30-A7E1-668F5C8D5F8C}"/>
            </c:ext>
          </c:extLst>
        </c:ser>
        <c:dLbls>
          <c:showLegendKey val="0"/>
          <c:showVal val="1"/>
          <c:showCatName val="0"/>
          <c:showSerName val="0"/>
          <c:showPercent val="0"/>
          <c:showBubbleSize val="0"/>
        </c:dLbls>
        <c:gapWidth val="70"/>
        <c:axId val="296530304"/>
        <c:axId val="296531840"/>
      </c:barChart>
      <c:catAx>
        <c:axId val="296530304"/>
        <c:scaling>
          <c:orientation val="maxMin"/>
        </c:scaling>
        <c:delete val="0"/>
        <c:axPos val="l"/>
        <c:numFmt formatCode="General" sourceLinked="0"/>
        <c:majorTickMark val="none"/>
        <c:minorTickMark val="none"/>
        <c:tickLblPos val="nextTo"/>
        <c:txPr>
          <a:bodyPr rot="0" vert="horz"/>
          <a:lstStyle/>
          <a:p>
            <a:pPr>
              <a:defRPr/>
            </a:pPr>
            <a:endParaRPr lang="ru-RU"/>
          </a:p>
        </c:txPr>
        <c:crossAx val="296531840"/>
        <c:crosses val="autoZero"/>
        <c:auto val="1"/>
        <c:lblAlgn val="ctr"/>
        <c:lblOffset val="100"/>
        <c:noMultiLvlLbl val="0"/>
      </c:catAx>
      <c:valAx>
        <c:axId val="296531840"/>
        <c:scaling>
          <c:orientation val="minMax"/>
        </c:scaling>
        <c:delete val="1"/>
        <c:axPos val="t"/>
        <c:numFmt formatCode="0.0" sourceLinked="1"/>
        <c:majorTickMark val="out"/>
        <c:minorTickMark val="none"/>
        <c:tickLblPos val="none"/>
        <c:crossAx val="296530304"/>
        <c:crosses val="autoZero"/>
        <c:crossBetween val="between"/>
      </c:valAx>
    </c:plotArea>
    <c:legend>
      <c:legendPos val="t"/>
      <c:layout>
        <c:manualLayout>
          <c:xMode val="edge"/>
          <c:yMode val="edge"/>
          <c:x val="0.73133173644010852"/>
          <c:y val="0.53916211293260385"/>
          <c:w val="0.24845877510055059"/>
          <c:h val="0.45983146816271919"/>
        </c:manualLayout>
      </c:layout>
      <c:overlay val="0"/>
    </c:legend>
    <c:plotVisOnly val="1"/>
    <c:dispBlanksAs val="gap"/>
    <c:showDLblsOverMax val="0"/>
  </c:chart>
  <c:spPr>
    <a:ln>
      <a:solidFill>
        <a:sysClr val="window" lastClr="FFFFFF">
          <a:lumMod val="75000"/>
        </a:sysClr>
      </a:solidFill>
    </a:ln>
  </c:spPr>
  <c:txPr>
    <a:bodyPr/>
    <a:lstStyle/>
    <a:p>
      <a:pPr>
        <a:defRPr>
          <a:latin typeface="Garamond" panose="02020404030301010803" pitchFamily="18" charset="0"/>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298429180332225"/>
          <c:y val="6.0375381648722484E-2"/>
          <c:w val="0.64701570819667775"/>
          <c:h val="0.93962465605048839"/>
        </c:manualLayout>
      </c:layout>
      <c:barChart>
        <c:barDir val="bar"/>
        <c:grouping val="clustered"/>
        <c:varyColors val="0"/>
        <c:ser>
          <c:idx val="0"/>
          <c:order val="0"/>
          <c:tx>
            <c:strRef>
              <c:f>Лист1!$B$1</c:f>
              <c:strCache>
                <c:ptCount val="1"/>
                <c:pt idx="0">
                  <c:v>2019</c:v>
                </c:pt>
              </c:strCache>
            </c:strRef>
          </c:tx>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В суд</c:v>
                </c:pt>
                <c:pt idx="1">
                  <c:v>В федеральные органы исполнит. власти</c:v>
                </c:pt>
                <c:pt idx="2">
                  <c:v>Действуя самостоятельно</c:v>
                </c:pt>
                <c:pt idx="3">
                  <c:v>В рег администрации / муниципалитеты</c:v>
                </c:pt>
                <c:pt idx="4">
                  <c:v>В российские третейские суды, органы медиаци</c:v>
                </c:pt>
                <c:pt idx="5">
                  <c:v>В общ. и иные объединения предпринимателей</c:v>
                </c:pt>
                <c:pt idx="6">
                  <c:v>В СМИ</c:v>
                </c:pt>
                <c:pt idx="7">
                  <c:v>Эффективных способов нет</c:v>
                </c:pt>
                <c:pt idx="8">
                  <c:v>Международный суд</c:v>
                </c:pt>
                <c:pt idx="9">
                  <c:v>К другим предпринимателям</c:v>
                </c:pt>
              </c:strCache>
            </c:strRef>
          </c:cat>
          <c:val>
            <c:numRef>
              <c:f>Лист1!$B$2:$B$11</c:f>
              <c:numCache>
                <c:formatCode>General</c:formatCode>
                <c:ptCount val="10"/>
                <c:pt idx="0">
                  <c:v>82.6</c:v>
                </c:pt>
                <c:pt idx="1">
                  <c:v>31.2</c:v>
                </c:pt>
                <c:pt idx="2">
                  <c:v>30.9</c:v>
                </c:pt>
                <c:pt idx="3">
                  <c:v>21.9</c:v>
                </c:pt>
                <c:pt idx="4">
                  <c:v>21.5</c:v>
                </c:pt>
                <c:pt idx="5">
                  <c:v>15.6</c:v>
                </c:pt>
                <c:pt idx="6">
                  <c:v>13.2</c:v>
                </c:pt>
                <c:pt idx="7">
                  <c:v>6.2</c:v>
                </c:pt>
                <c:pt idx="8">
                  <c:v>2.4</c:v>
                </c:pt>
                <c:pt idx="9">
                  <c:v>2.1</c:v>
                </c:pt>
              </c:numCache>
            </c:numRef>
          </c:val>
          <c:extLst>
            <c:ext xmlns:c16="http://schemas.microsoft.com/office/drawing/2014/chart" uri="{C3380CC4-5D6E-409C-BE32-E72D297353CC}">
              <c16:uniqueId val="{00000000-42DF-4BC2-9154-738B95F23636}"/>
            </c:ext>
          </c:extLst>
        </c:ser>
        <c:ser>
          <c:idx val="1"/>
          <c:order val="1"/>
          <c:tx>
            <c:strRef>
              <c:f>Лист1!$C$1</c:f>
              <c:strCache>
                <c:ptCount val="1"/>
                <c:pt idx="0">
                  <c:v>2018</c:v>
                </c:pt>
              </c:strCache>
            </c:strRef>
          </c:tx>
          <c:invertIfNegative val="0"/>
          <c:dLbls>
            <c:numFmt formatCode="#,##0.0" sourceLinked="0"/>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В суд</c:v>
                </c:pt>
                <c:pt idx="1">
                  <c:v>В федеральные органы исполнит. власти</c:v>
                </c:pt>
                <c:pt idx="2">
                  <c:v>Действуя самостоятельно</c:v>
                </c:pt>
                <c:pt idx="3">
                  <c:v>В рег администрации / муниципалитеты</c:v>
                </c:pt>
                <c:pt idx="4">
                  <c:v>В российские третейские суды, органы медиаци</c:v>
                </c:pt>
                <c:pt idx="5">
                  <c:v>В общ. и иные объединения предпринимателей</c:v>
                </c:pt>
                <c:pt idx="6">
                  <c:v>В СМИ</c:v>
                </c:pt>
                <c:pt idx="7">
                  <c:v>Эффективных способов нет</c:v>
                </c:pt>
                <c:pt idx="8">
                  <c:v>Международный суд</c:v>
                </c:pt>
                <c:pt idx="9">
                  <c:v>К другим предпринимателям</c:v>
                </c:pt>
              </c:strCache>
            </c:strRef>
          </c:cat>
          <c:val>
            <c:numRef>
              <c:f>Лист1!$C$2:$C$11</c:f>
              <c:numCache>
                <c:formatCode>General</c:formatCode>
                <c:ptCount val="10"/>
                <c:pt idx="0">
                  <c:v>80.3</c:v>
                </c:pt>
                <c:pt idx="1">
                  <c:v>26.6</c:v>
                </c:pt>
                <c:pt idx="2">
                  <c:v>33.5</c:v>
                </c:pt>
                <c:pt idx="3">
                  <c:v>22.7</c:v>
                </c:pt>
                <c:pt idx="4">
                  <c:v>19.2</c:v>
                </c:pt>
                <c:pt idx="5">
                  <c:v>19.2</c:v>
                </c:pt>
                <c:pt idx="6">
                  <c:v>10.3</c:v>
                </c:pt>
                <c:pt idx="7">
                  <c:v>9.9</c:v>
                </c:pt>
                <c:pt idx="8">
                  <c:v>4.4000000000000004</c:v>
                </c:pt>
                <c:pt idx="9">
                  <c:v>4.9000000000000004</c:v>
                </c:pt>
              </c:numCache>
            </c:numRef>
          </c:val>
          <c:extLst>
            <c:ext xmlns:c16="http://schemas.microsoft.com/office/drawing/2014/chart" uri="{C3380CC4-5D6E-409C-BE32-E72D297353CC}">
              <c16:uniqueId val="{00000001-42DF-4BC2-9154-738B95F23636}"/>
            </c:ext>
          </c:extLst>
        </c:ser>
        <c:dLbls>
          <c:showLegendKey val="0"/>
          <c:showVal val="1"/>
          <c:showCatName val="0"/>
          <c:showSerName val="0"/>
          <c:showPercent val="0"/>
          <c:showBubbleSize val="0"/>
        </c:dLbls>
        <c:gapWidth val="75"/>
        <c:axId val="302897024"/>
        <c:axId val="302898560"/>
      </c:barChart>
      <c:catAx>
        <c:axId val="302897024"/>
        <c:scaling>
          <c:orientation val="maxMin"/>
        </c:scaling>
        <c:delete val="0"/>
        <c:axPos val="l"/>
        <c:numFmt formatCode="General" sourceLinked="0"/>
        <c:majorTickMark val="none"/>
        <c:minorTickMark val="none"/>
        <c:tickLblPos val="nextTo"/>
        <c:txPr>
          <a:bodyPr rot="0" vert="horz"/>
          <a:lstStyle/>
          <a:p>
            <a:pPr>
              <a:defRPr/>
            </a:pPr>
            <a:endParaRPr lang="ru-RU"/>
          </a:p>
        </c:txPr>
        <c:crossAx val="302898560"/>
        <c:crosses val="autoZero"/>
        <c:auto val="1"/>
        <c:lblAlgn val="ctr"/>
        <c:lblOffset val="100"/>
        <c:noMultiLvlLbl val="0"/>
      </c:catAx>
      <c:valAx>
        <c:axId val="302898560"/>
        <c:scaling>
          <c:orientation val="minMax"/>
        </c:scaling>
        <c:delete val="1"/>
        <c:axPos val="t"/>
        <c:numFmt formatCode="General" sourceLinked="1"/>
        <c:majorTickMark val="out"/>
        <c:minorTickMark val="none"/>
        <c:tickLblPos val="none"/>
        <c:crossAx val="302897024"/>
        <c:crosses val="autoZero"/>
        <c:crossBetween val="between"/>
      </c:valAx>
    </c:plotArea>
    <c:legend>
      <c:legendPos val="t"/>
      <c:layout>
        <c:manualLayout>
          <c:xMode val="edge"/>
          <c:yMode val="edge"/>
          <c:x val="0.44753128081212029"/>
          <c:y val="1.7684557194648769E-2"/>
          <c:w val="0.31763526981807688"/>
          <c:h val="2.9830115883034272E-2"/>
        </c:manualLayout>
      </c:layout>
      <c:overlay val="0"/>
    </c:legend>
    <c:plotVisOnly val="1"/>
    <c:dispBlanksAs val="gap"/>
    <c:showDLblsOverMax val="0"/>
  </c:chart>
  <c:spPr>
    <a:ln>
      <a:solidFill>
        <a:sysClr val="window" lastClr="FFFFFF">
          <a:lumMod val="75000"/>
        </a:sysClr>
      </a:solidFill>
    </a:ln>
  </c:spPr>
  <c:txPr>
    <a:bodyPr/>
    <a:lstStyle/>
    <a:p>
      <a:pPr>
        <a:defRPr>
          <a:latin typeface="Garamond" panose="02020404030301010803"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726450860309127E-2"/>
          <c:y val="4.4057617797775513E-2"/>
          <c:w val="0.62979221347332537"/>
          <c:h val="0.79700724909386322"/>
        </c:manualLayout>
      </c:layout>
      <c:barChart>
        <c:barDir val="col"/>
        <c:grouping val="clustered"/>
        <c:varyColors val="0"/>
        <c:ser>
          <c:idx val="0"/>
          <c:order val="0"/>
          <c:tx>
            <c:strRef>
              <c:f>Лист1!$B$1</c:f>
              <c:strCache>
                <c:ptCount val="1"/>
                <c:pt idx="0">
                  <c:v>Индекс промышленного производства</c:v>
                </c:pt>
              </c:strCache>
            </c:strRef>
          </c:tx>
          <c:invertIfNegative val="0"/>
          <c:cat>
            <c:numRef>
              <c:f>Лист1!$A$2:$A$7</c:f>
              <c:numCache>
                <c:formatCode>General</c:formatCode>
                <c:ptCount val="6"/>
                <c:pt idx="0">
                  <c:v>2015</c:v>
                </c:pt>
                <c:pt idx="1">
                  <c:v>2016</c:v>
                </c:pt>
                <c:pt idx="2">
                  <c:v>2017</c:v>
                </c:pt>
                <c:pt idx="3">
                  <c:v>2018</c:v>
                </c:pt>
                <c:pt idx="4">
                  <c:v>2019</c:v>
                </c:pt>
                <c:pt idx="5">
                  <c:v>2020</c:v>
                </c:pt>
              </c:numCache>
            </c:numRef>
          </c:cat>
          <c:val>
            <c:numRef>
              <c:f>Лист1!$B$2:$B$7</c:f>
              <c:numCache>
                <c:formatCode>General</c:formatCode>
                <c:ptCount val="6"/>
                <c:pt idx="0">
                  <c:v>99.2</c:v>
                </c:pt>
                <c:pt idx="1">
                  <c:v>101.3</c:v>
                </c:pt>
                <c:pt idx="2" formatCode="0.0">
                  <c:v>102.1</c:v>
                </c:pt>
                <c:pt idx="3">
                  <c:v>102.9</c:v>
                </c:pt>
                <c:pt idx="4">
                  <c:v>102.4</c:v>
                </c:pt>
                <c:pt idx="5">
                  <c:v>92.8</c:v>
                </c:pt>
              </c:numCache>
            </c:numRef>
          </c:val>
          <c:extLst>
            <c:ext xmlns:c16="http://schemas.microsoft.com/office/drawing/2014/chart" uri="{C3380CC4-5D6E-409C-BE32-E72D297353CC}">
              <c16:uniqueId val="{00000000-71F5-4BD5-A4CD-3703B0DE8F85}"/>
            </c:ext>
          </c:extLst>
        </c:ser>
        <c:ser>
          <c:idx val="1"/>
          <c:order val="1"/>
          <c:tx>
            <c:strRef>
              <c:f>Лист1!$C$1</c:f>
              <c:strCache>
                <c:ptCount val="1"/>
                <c:pt idx="0">
                  <c:v>Индекс роста в обрабатывающей промышленности</c:v>
                </c:pt>
              </c:strCache>
            </c:strRef>
          </c:tx>
          <c:spPr>
            <a:ln>
              <a:solidFill>
                <a:schemeClr val="accent6">
                  <a:lumMod val="75000"/>
                </a:schemeClr>
              </a:solidFill>
            </a:ln>
          </c:spPr>
          <c:invertIfNegative val="0"/>
          <c:cat>
            <c:numRef>
              <c:f>Лист1!$A$2:$A$7</c:f>
              <c:numCache>
                <c:formatCode>General</c:formatCode>
                <c:ptCount val="6"/>
                <c:pt idx="0">
                  <c:v>2015</c:v>
                </c:pt>
                <c:pt idx="1">
                  <c:v>2016</c:v>
                </c:pt>
                <c:pt idx="2">
                  <c:v>2017</c:v>
                </c:pt>
                <c:pt idx="3">
                  <c:v>2018</c:v>
                </c:pt>
                <c:pt idx="4">
                  <c:v>2019</c:v>
                </c:pt>
                <c:pt idx="5">
                  <c:v>2020</c:v>
                </c:pt>
              </c:numCache>
            </c:numRef>
          </c:cat>
          <c:val>
            <c:numRef>
              <c:f>Лист1!$C$2:$C$7</c:f>
              <c:numCache>
                <c:formatCode>General</c:formatCode>
                <c:ptCount val="6"/>
                <c:pt idx="0">
                  <c:v>98.7</c:v>
                </c:pt>
                <c:pt idx="1">
                  <c:v>100.5</c:v>
                </c:pt>
                <c:pt idx="2" formatCode="0.0">
                  <c:v>102.5</c:v>
                </c:pt>
                <c:pt idx="3">
                  <c:v>102.6</c:v>
                </c:pt>
                <c:pt idx="4">
                  <c:v>102.3</c:v>
                </c:pt>
                <c:pt idx="5">
                  <c:v>95.9</c:v>
                </c:pt>
              </c:numCache>
            </c:numRef>
          </c:val>
          <c:extLst>
            <c:ext xmlns:c16="http://schemas.microsoft.com/office/drawing/2014/chart" uri="{C3380CC4-5D6E-409C-BE32-E72D297353CC}">
              <c16:uniqueId val="{00000001-71F5-4BD5-A4CD-3703B0DE8F85}"/>
            </c:ext>
          </c:extLst>
        </c:ser>
        <c:dLbls>
          <c:showLegendKey val="0"/>
          <c:showVal val="0"/>
          <c:showCatName val="0"/>
          <c:showSerName val="0"/>
          <c:showPercent val="0"/>
          <c:showBubbleSize val="0"/>
        </c:dLbls>
        <c:gapWidth val="75"/>
        <c:axId val="158739840"/>
        <c:axId val="449885312"/>
      </c:barChart>
      <c:catAx>
        <c:axId val="158739840"/>
        <c:scaling>
          <c:orientation val="minMax"/>
        </c:scaling>
        <c:delete val="0"/>
        <c:axPos val="b"/>
        <c:numFmt formatCode="General" sourceLinked="1"/>
        <c:majorTickMark val="out"/>
        <c:minorTickMark val="none"/>
        <c:tickLblPos val="nextTo"/>
        <c:txPr>
          <a:bodyPr/>
          <a:lstStyle/>
          <a:p>
            <a:pPr>
              <a:defRPr sz="1100">
                <a:latin typeface="Garamond" panose="02020404030301010803" pitchFamily="18" charset="0"/>
              </a:defRPr>
            </a:pPr>
            <a:endParaRPr lang="ru-RU"/>
          </a:p>
        </c:txPr>
        <c:crossAx val="449885312"/>
        <c:crosses val="autoZero"/>
        <c:auto val="1"/>
        <c:lblAlgn val="ctr"/>
        <c:lblOffset val="100"/>
        <c:noMultiLvlLbl val="0"/>
      </c:catAx>
      <c:valAx>
        <c:axId val="449885312"/>
        <c:scaling>
          <c:orientation val="minMax"/>
          <c:max val="105"/>
          <c:min val="90"/>
        </c:scaling>
        <c:delete val="0"/>
        <c:axPos val="l"/>
        <c:numFmt formatCode="General" sourceLinked="1"/>
        <c:majorTickMark val="out"/>
        <c:minorTickMark val="none"/>
        <c:tickLblPos val="nextTo"/>
        <c:spPr>
          <a:ln w="15875">
            <a:solidFill>
              <a:schemeClr val="tx1">
                <a:lumMod val="50000"/>
                <a:lumOff val="50000"/>
              </a:schemeClr>
            </a:solidFill>
          </a:ln>
        </c:spPr>
        <c:txPr>
          <a:bodyPr/>
          <a:lstStyle/>
          <a:p>
            <a:pPr>
              <a:defRPr>
                <a:latin typeface="Garamond" panose="02020404030301010803" pitchFamily="18" charset="0"/>
              </a:defRPr>
            </a:pPr>
            <a:endParaRPr lang="ru-RU"/>
          </a:p>
        </c:txPr>
        <c:crossAx val="158739840"/>
        <c:crosses val="autoZero"/>
        <c:crossBetween val="between"/>
        <c:majorUnit val="5"/>
      </c:valAx>
    </c:plotArea>
    <c:legend>
      <c:legendPos val="r"/>
      <c:layout>
        <c:manualLayout>
          <c:xMode val="edge"/>
          <c:yMode val="edge"/>
          <c:x val="0.75789840578609646"/>
          <c:y val="2.8186897583290363E-2"/>
          <c:w val="0.2235830569410335"/>
          <c:h val="0.89375666557110944"/>
        </c:manualLayout>
      </c:layout>
      <c:overlay val="0"/>
      <c:txPr>
        <a:bodyPr/>
        <a:lstStyle/>
        <a:p>
          <a:pPr>
            <a:defRPr sz="1100">
              <a:latin typeface="Garamond" panose="02020404030301010803" pitchFamily="18" charset="0"/>
            </a:defRPr>
          </a:pPr>
          <a:endParaRPr lang="ru-RU"/>
        </a:p>
      </c:txPr>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400"/>
            </a:pPr>
            <a:r>
              <a:rPr lang="ru-RU" sz="1400"/>
              <a:t>2018 год</a:t>
            </a:r>
          </a:p>
        </c:rich>
      </c:tx>
      <c:layout>
        <c:manualLayout>
          <c:xMode val="edge"/>
          <c:yMode val="edge"/>
          <c:x val="0.37777642765764585"/>
          <c:y val="0"/>
        </c:manualLayout>
      </c:layout>
      <c:overlay val="0"/>
    </c:title>
    <c:autoTitleDeleted val="0"/>
    <c:plotArea>
      <c:layout>
        <c:manualLayout>
          <c:layoutTarget val="inner"/>
          <c:xMode val="edge"/>
          <c:yMode val="edge"/>
          <c:x val="0.12836724823663442"/>
          <c:y val="0.35999010564399631"/>
          <c:w val="0.70403158457306969"/>
          <c:h val="0.55752793320766048"/>
        </c:manualLayout>
      </c:layout>
      <c:pieChart>
        <c:varyColors val="1"/>
        <c:ser>
          <c:idx val="0"/>
          <c:order val="0"/>
          <c:tx>
            <c:strRef>
              <c:f>Лист1!$B$1</c:f>
              <c:strCache>
                <c:ptCount val="1"/>
                <c:pt idx="0">
                  <c:v>Столбец1</c:v>
                </c:pt>
              </c:strCache>
            </c:strRef>
          </c:tx>
          <c:explosion val="2"/>
          <c:dPt>
            <c:idx val="0"/>
            <c:bubble3D val="0"/>
            <c:explosion val="4"/>
            <c:extLst>
              <c:ext xmlns:c16="http://schemas.microsoft.com/office/drawing/2014/chart" uri="{C3380CC4-5D6E-409C-BE32-E72D297353CC}">
                <c16:uniqueId val="{00000000-9D23-406A-B077-D51234AB4BEA}"/>
              </c:ext>
            </c:extLst>
          </c:dPt>
          <c:dPt>
            <c:idx val="1"/>
            <c:bubble3D val="0"/>
            <c:explosion val="5"/>
            <c:extLst>
              <c:ext xmlns:c16="http://schemas.microsoft.com/office/drawing/2014/chart" uri="{C3380CC4-5D6E-409C-BE32-E72D297353CC}">
                <c16:uniqueId val="{00000001-9D23-406A-B077-D51234AB4BEA}"/>
              </c:ext>
            </c:extLst>
          </c:dPt>
          <c:dPt>
            <c:idx val="2"/>
            <c:bubble3D val="0"/>
            <c:explosion val="16"/>
            <c:extLst>
              <c:ext xmlns:c16="http://schemas.microsoft.com/office/drawing/2014/chart" uri="{C3380CC4-5D6E-409C-BE32-E72D297353CC}">
                <c16:uniqueId val="{00000002-9D23-406A-B077-D51234AB4BEA}"/>
              </c:ext>
            </c:extLst>
          </c:dPt>
          <c:dPt>
            <c:idx val="3"/>
            <c:bubble3D val="0"/>
            <c:explosion val="4"/>
            <c:extLst>
              <c:ext xmlns:c16="http://schemas.microsoft.com/office/drawing/2014/chart" uri="{C3380CC4-5D6E-409C-BE32-E72D297353CC}">
                <c16:uniqueId val="{00000003-9D23-406A-B077-D51234AB4BEA}"/>
              </c:ext>
            </c:extLst>
          </c:dPt>
          <c:dPt>
            <c:idx val="4"/>
            <c:bubble3D val="0"/>
            <c:explosion val="5"/>
            <c:extLst>
              <c:ext xmlns:c16="http://schemas.microsoft.com/office/drawing/2014/chart" uri="{C3380CC4-5D6E-409C-BE32-E72D297353CC}">
                <c16:uniqueId val="{00000004-9D23-406A-B077-D51234AB4BEA}"/>
              </c:ext>
            </c:extLst>
          </c:dPt>
          <c:dPt>
            <c:idx val="5"/>
            <c:bubble3D val="0"/>
            <c:explosion val="12"/>
            <c:extLst>
              <c:ext xmlns:c16="http://schemas.microsoft.com/office/drawing/2014/chart" uri="{C3380CC4-5D6E-409C-BE32-E72D297353CC}">
                <c16:uniqueId val="{00000005-9D23-406A-B077-D51234AB4BEA}"/>
              </c:ext>
            </c:extLst>
          </c:dPt>
          <c:dPt>
            <c:idx val="6"/>
            <c:bubble3D val="0"/>
            <c:explosion val="9"/>
            <c:extLst>
              <c:ext xmlns:c16="http://schemas.microsoft.com/office/drawing/2014/chart" uri="{C3380CC4-5D6E-409C-BE32-E72D297353CC}">
                <c16:uniqueId val="{00000006-9D23-406A-B077-D51234AB4BEA}"/>
              </c:ext>
            </c:extLst>
          </c:dPt>
          <c:dLbls>
            <c:numFmt formatCode="0.0%" sourceLinked="0"/>
            <c:spPr>
              <a:noFill/>
              <a:ln>
                <a:noFill/>
              </a:ln>
              <a:effectLst/>
            </c:spPr>
            <c:txPr>
              <a:bodyPr/>
              <a:lstStyle/>
              <a:p>
                <a:pPr>
                  <a:defRPr>
                    <a:solidFill>
                      <a:sysClr val="windowText" lastClr="000000"/>
                    </a:solidFill>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4"/>
                <c:pt idx="0">
                  <c:v>Нет</c:v>
                </c:pt>
                <c:pt idx="1">
                  <c:v>И плановые, и внеплановые</c:v>
                </c:pt>
                <c:pt idx="2">
                  <c:v>Только плановые</c:v>
                </c:pt>
                <c:pt idx="3">
                  <c:v>Только внеплановые</c:v>
                </c:pt>
              </c:strCache>
            </c:strRef>
          </c:cat>
          <c:val>
            <c:numRef>
              <c:f>Лист1!$B$2:$B$5</c:f>
              <c:numCache>
                <c:formatCode>0.00%</c:formatCode>
                <c:ptCount val="4"/>
                <c:pt idx="0">
                  <c:v>0.16</c:v>
                </c:pt>
                <c:pt idx="1">
                  <c:v>0.40500000000000008</c:v>
                </c:pt>
                <c:pt idx="2">
                  <c:v>0.38000000000000006</c:v>
                </c:pt>
                <c:pt idx="3">
                  <c:v>5.5000000000000007E-2</c:v>
                </c:pt>
              </c:numCache>
            </c:numRef>
          </c:val>
          <c:extLst>
            <c:ext xmlns:c16="http://schemas.microsoft.com/office/drawing/2014/chart" uri="{C3380CC4-5D6E-409C-BE32-E72D297353CC}">
              <c16:uniqueId val="{00000007-9D23-406A-B077-D51234AB4BEA}"/>
            </c:ext>
          </c:extLst>
        </c:ser>
        <c:dLbls>
          <c:showLegendKey val="0"/>
          <c:showVal val="0"/>
          <c:showCatName val="0"/>
          <c:showSerName val="0"/>
          <c:showPercent val="1"/>
          <c:showBubbleSize val="0"/>
          <c:showLeaderLines val="1"/>
        </c:dLbls>
        <c:firstSliceAng val="0"/>
      </c:pieChart>
    </c:plotArea>
    <c:legend>
      <c:legendPos val="t"/>
      <c:layout>
        <c:manualLayout>
          <c:xMode val="edge"/>
          <c:yMode val="edge"/>
          <c:x val="0"/>
          <c:y val="7.6637767354877109E-2"/>
          <c:w val="0.96817549456445073"/>
          <c:h val="0.20777468050608028"/>
        </c:manualLayout>
      </c:layout>
      <c:overlay val="0"/>
      <c:txPr>
        <a:bodyPr/>
        <a:lstStyle/>
        <a:p>
          <a:pPr>
            <a:defRPr sz="1000"/>
          </a:pPr>
          <a:endParaRPr lang="ru-RU"/>
        </a:p>
      </c:txPr>
    </c:legend>
    <c:plotVisOnly val="1"/>
    <c:dispBlanksAs val="zero"/>
    <c:showDLblsOverMax val="0"/>
  </c:chart>
  <c:txPr>
    <a:bodyPr/>
    <a:lstStyle/>
    <a:p>
      <a:pPr>
        <a:defRPr sz="1200">
          <a:latin typeface="Garamond" panose="02020404030301010803" pitchFamily="18" charset="0"/>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400"/>
            </a:pPr>
            <a:r>
              <a:rPr lang="ru-RU" sz="1400"/>
              <a:t>2019 год</a:t>
            </a:r>
          </a:p>
        </c:rich>
      </c:tx>
      <c:layout>
        <c:manualLayout>
          <c:xMode val="edge"/>
          <c:yMode val="edge"/>
          <c:x val="0.37777642765764585"/>
          <c:y val="0"/>
        </c:manualLayout>
      </c:layout>
      <c:overlay val="0"/>
    </c:title>
    <c:autoTitleDeleted val="0"/>
    <c:plotArea>
      <c:layout>
        <c:manualLayout>
          <c:layoutTarget val="inner"/>
          <c:xMode val="edge"/>
          <c:yMode val="edge"/>
          <c:x val="0.15888225156101951"/>
          <c:y val="0.35653795396134408"/>
          <c:w val="0.71710944314066305"/>
          <c:h val="0.56788438825561649"/>
        </c:manualLayout>
      </c:layout>
      <c:pieChart>
        <c:varyColors val="1"/>
        <c:ser>
          <c:idx val="0"/>
          <c:order val="0"/>
          <c:tx>
            <c:strRef>
              <c:f>Лист1!$B$1</c:f>
              <c:strCache>
                <c:ptCount val="1"/>
                <c:pt idx="0">
                  <c:v>Столбец1</c:v>
                </c:pt>
              </c:strCache>
            </c:strRef>
          </c:tx>
          <c:explosion val="2"/>
          <c:dPt>
            <c:idx val="0"/>
            <c:bubble3D val="0"/>
            <c:explosion val="4"/>
            <c:extLst>
              <c:ext xmlns:c16="http://schemas.microsoft.com/office/drawing/2014/chart" uri="{C3380CC4-5D6E-409C-BE32-E72D297353CC}">
                <c16:uniqueId val="{00000000-7A5D-4D78-BD3F-421BB5E6C0F2}"/>
              </c:ext>
            </c:extLst>
          </c:dPt>
          <c:dPt>
            <c:idx val="1"/>
            <c:bubble3D val="0"/>
            <c:explosion val="5"/>
            <c:extLst>
              <c:ext xmlns:c16="http://schemas.microsoft.com/office/drawing/2014/chart" uri="{C3380CC4-5D6E-409C-BE32-E72D297353CC}">
                <c16:uniqueId val="{00000001-7A5D-4D78-BD3F-421BB5E6C0F2}"/>
              </c:ext>
            </c:extLst>
          </c:dPt>
          <c:dPt>
            <c:idx val="2"/>
            <c:bubble3D val="0"/>
            <c:explosion val="16"/>
            <c:extLst>
              <c:ext xmlns:c16="http://schemas.microsoft.com/office/drawing/2014/chart" uri="{C3380CC4-5D6E-409C-BE32-E72D297353CC}">
                <c16:uniqueId val="{00000002-7A5D-4D78-BD3F-421BB5E6C0F2}"/>
              </c:ext>
            </c:extLst>
          </c:dPt>
          <c:dPt>
            <c:idx val="3"/>
            <c:bubble3D val="0"/>
            <c:explosion val="4"/>
            <c:extLst>
              <c:ext xmlns:c16="http://schemas.microsoft.com/office/drawing/2014/chart" uri="{C3380CC4-5D6E-409C-BE32-E72D297353CC}">
                <c16:uniqueId val="{00000003-7A5D-4D78-BD3F-421BB5E6C0F2}"/>
              </c:ext>
            </c:extLst>
          </c:dPt>
          <c:dPt>
            <c:idx val="4"/>
            <c:bubble3D val="0"/>
            <c:explosion val="5"/>
            <c:extLst>
              <c:ext xmlns:c16="http://schemas.microsoft.com/office/drawing/2014/chart" uri="{C3380CC4-5D6E-409C-BE32-E72D297353CC}">
                <c16:uniqueId val="{00000004-7A5D-4D78-BD3F-421BB5E6C0F2}"/>
              </c:ext>
            </c:extLst>
          </c:dPt>
          <c:dPt>
            <c:idx val="5"/>
            <c:bubble3D val="0"/>
            <c:explosion val="12"/>
            <c:extLst>
              <c:ext xmlns:c16="http://schemas.microsoft.com/office/drawing/2014/chart" uri="{C3380CC4-5D6E-409C-BE32-E72D297353CC}">
                <c16:uniqueId val="{00000005-7A5D-4D78-BD3F-421BB5E6C0F2}"/>
              </c:ext>
            </c:extLst>
          </c:dPt>
          <c:dPt>
            <c:idx val="6"/>
            <c:bubble3D val="0"/>
            <c:explosion val="9"/>
            <c:extLst>
              <c:ext xmlns:c16="http://schemas.microsoft.com/office/drawing/2014/chart" uri="{C3380CC4-5D6E-409C-BE32-E72D297353CC}">
                <c16:uniqueId val="{00000006-7A5D-4D78-BD3F-421BB5E6C0F2}"/>
              </c:ext>
            </c:extLst>
          </c:dPt>
          <c:dLbls>
            <c:dLbl>
              <c:idx val="0"/>
              <c:layout>
                <c:manualLayout>
                  <c:x val="-9.0880476267462554E-2"/>
                  <c:y val="8.4134101142607859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7A5D-4D78-BD3F-421BB5E6C0F2}"/>
                </c:ext>
              </c:extLst>
            </c:dLbl>
            <c:numFmt formatCode="0.0%" sourceLinked="0"/>
            <c:spPr>
              <a:noFill/>
              <a:ln>
                <a:noFill/>
              </a:ln>
              <a:effectLst/>
            </c:spPr>
            <c:txPr>
              <a:bodyPr/>
              <a:lstStyle/>
              <a:p>
                <a:pPr>
                  <a:defRPr>
                    <a:solidFill>
                      <a:sysClr val="windowText" lastClr="000000"/>
                    </a:solidFill>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4"/>
                <c:pt idx="0">
                  <c:v>Нет</c:v>
                </c:pt>
                <c:pt idx="1">
                  <c:v>И плановые, и внеплановые</c:v>
                </c:pt>
                <c:pt idx="2">
                  <c:v>Только плановые</c:v>
                </c:pt>
                <c:pt idx="3">
                  <c:v>Только внеплановые</c:v>
                </c:pt>
              </c:strCache>
            </c:strRef>
          </c:cat>
          <c:val>
            <c:numRef>
              <c:f>Лист1!$B$2:$B$5</c:f>
              <c:numCache>
                <c:formatCode>0.00%</c:formatCode>
                <c:ptCount val="4"/>
                <c:pt idx="0">
                  <c:v>0.13</c:v>
                </c:pt>
                <c:pt idx="1">
                  <c:v>0.47700000000000004</c:v>
                </c:pt>
                <c:pt idx="2">
                  <c:v>0.33600000000000008</c:v>
                </c:pt>
                <c:pt idx="3">
                  <c:v>5.8000000000000003E-2</c:v>
                </c:pt>
              </c:numCache>
            </c:numRef>
          </c:val>
          <c:extLst>
            <c:ext xmlns:c16="http://schemas.microsoft.com/office/drawing/2014/chart" uri="{C3380CC4-5D6E-409C-BE32-E72D297353CC}">
              <c16:uniqueId val="{00000007-7A5D-4D78-BD3F-421BB5E6C0F2}"/>
            </c:ext>
          </c:extLst>
        </c:ser>
        <c:dLbls>
          <c:showLegendKey val="0"/>
          <c:showVal val="0"/>
          <c:showCatName val="0"/>
          <c:showSerName val="0"/>
          <c:showPercent val="1"/>
          <c:showBubbleSize val="0"/>
          <c:showLeaderLines val="1"/>
        </c:dLbls>
        <c:firstSliceAng val="0"/>
      </c:pieChart>
    </c:plotArea>
    <c:legend>
      <c:legendPos val="t"/>
      <c:layout>
        <c:manualLayout>
          <c:xMode val="edge"/>
          <c:yMode val="edge"/>
          <c:x val="0"/>
          <c:y val="7.6637767354877109E-2"/>
          <c:w val="1"/>
          <c:h val="0.20432252882342788"/>
        </c:manualLayout>
      </c:layout>
      <c:overlay val="0"/>
      <c:txPr>
        <a:bodyPr/>
        <a:lstStyle/>
        <a:p>
          <a:pPr>
            <a:defRPr sz="1000"/>
          </a:pPr>
          <a:endParaRPr lang="ru-RU"/>
        </a:p>
      </c:txPr>
    </c:legend>
    <c:plotVisOnly val="1"/>
    <c:dispBlanksAs val="zero"/>
    <c:showDLblsOverMax val="0"/>
  </c:chart>
  <c:txPr>
    <a:bodyPr/>
    <a:lstStyle/>
    <a:p>
      <a:pPr>
        <a:defRPr sz="1200">
          <a:latin typeface="Garamond" panose="02020404030301010803" pitchFamily="18" charset="0"/>
        </a:defRPr>
      </a:pPr>
      <a:endParaRPr lang="ru-RU"/>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7078791025481381"/>
          <c:y val="8.4883709726630854E-2"/>
          <c:w val="0.52921212869546219"/>
          <c:h val="0.89107508823254855"/>
        </c:manualLayout>
      </c:layout>
      <c:barChart>
        <c:barDir val="bar"/>
        <c:grouping val="clustered"/>
        <c:varyColors val="0"/>
        <c:ser>
          <c:idx val="0"/>
          <c:order val="0"/>
          <c:tx>
            <c:strRef>
              <c:f>Лист1!$B$1</c:f>
              <c:strCache>
                <c:ptCount val="1"/>
                <c:pt idx="0">
                  <c:v>2019</c:v>
                </c:pt>
              </c:strCache>
            </c:strRef>
          </c:tx>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Требование избыточного, по сравнению с законом, числа документов</c:v>
                </c:pt>
                <c:pt idx="1">
                  <c:v>При проверках никакие проблемы не возникают</c:v>
                </c:pt>
                <c:pt idx="2">
                  <c:v>Недостаточная компетентность проверяющих лиц</c:v>
                </c:pt>
                <c:pt idx="3">
                  <c:v>Нарушение правил проведения проверок</c:v>
                </c:pt>
                <c:pt idx="4">
                  <c:v>"Заказные" проверки</c:v>
                </c:pt>
                <c:pt idx="5">
                  <c:v>Несоответствие предмета проверки, указанному в распоряжении</c:v>
                </c:pt>
                <c:pt idx="6">
                  <c:v>Прямые или косвенные намёки на необходимость оплаты услуг</c:v>
                </c:pt>
                <c:pt idx="7">
                  <c:v>Проведение проверок неуполномоченными на то лицами</c:v>
                </c:pt>
              </c:strCache>
            </c:strRef>
          </c:cat>
          <c:val>
            <c:numRef>
              <c:f>Лист1!$B$2:$B$9</c:f>
              <c:numCache>
                <c:formatCode>0.0</c:formatCode>
                <c:ptCount val="8"/>
                <c:pt idx="0">
                  <c:v>37.300000000000011</c:v>
                </c:pt>
                <c:pt idx="1">
                  <c:v>28</c:v>
                </c:pt>
                <c:pt idx="2">
                  <c:v>25.8</c:v>
                </c:pt>
                <c:pt idx="3">
                  <c:v>12.7</c:v>
                </c:pt>
                <c:pt idx="4">
                  <c:v>8.1</c:v>
                </c:pt>
                <c:pt idx="5">
                  <c:v>7.6</c:v>
                </c:pt>
                <c:pt idx="6">
                  <c:v>5.5</c:v>
                </c:pt>
                <c:pt idx="7">
                  <c:v>2.1</c:v>
                </c:pt>
              </c:numCache>
            </c:numRef>
          </c:val>
          <c:extLst>
            <c:ext xmlns:c16="http://schemas.microsoft.com/office/drawing/2014/chart" uri="{C3380CC4-5D6E-409C-BE32-E72D297353CC}">
              <c16:uniqueId val="{00000000-C39C-4C74-BA6F-7EB15F66C737}"/>
            </c:ext>
          </c:extLst>
        </c:ser>
        <c:ser>
          <c:idx val="1"/>
          <c:order val="1"/>
          <c:tx>
            <c:strRef>
              <c:f>Лист1!$C$1</c:f>
              <c:strCache>
                <c:ptCount val="1"/>
                <c:pt idx="0">
                  <c:v>2018</c:v>
                </c:pt>
              </c:strCache>
            </c:strRef>
          </c:tx>
          <c:invertIfNegative val="0"/>
          <c:dLbls>
            <c:numFmt formatCode="#,##0.0" sourceLinked="0"/>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Требование избыточного, по сравнению с законом, числа документов</c:v>
                </c:pt>
                <c:pt idx="1">
                  <c:v>При проверках никакие проблемы не возникают</c:v>
                </c:pt>
                <c:pt idx="2">
                  <c:v>Недостаточная компетентность проверяющих лиц</c:v>
                </c:pt>
                <c:pt idx="3">
                  <c:v>Нарушение правил проведения проверок</c:v>
                </c:pt>
                <c:pt idx="4">
                  <c:v>"Заказные" проверки</c:v>
                </c:pt>
                <c:pt idx="5">
                  <c:v>Несоответствие предмета проверки, указанному в распоряжении</c:v>
                </c:pt>
                <c:pt idx="6">
                  <c:v>Прямые или косвенные намёки на необходимость оплаты услуг</c:v>
                </c:pt>
                <c:pt idx="7">
                  <c:v>Проведение проверок неуполномоченными на то лицами</c:v>
                </c:pt>
              </c:strCache>
            </c:strRef>
          </c:cat>
          <c:val>
            <c:numRef>
              <c:f>Лист1!$C$2:$C$9</c:f>
              <c:numCache>
                <c:formatCode>0.0</c:formatCode>
                <c:ptCount val="8"/>
                <c:pt idx="0">
                  <c:v>48.3</c:v>
                </c:pt>
                <c:pt idx="1">
                  <c:v>35.5</c:v>
                </c:pt>
                <c:pt idx="2">
                  <c:v>25</c:v>
                </c:pt>
                <c:pt idx="3">
                  <c:v>11</c:v>
                </c:pt>
                <c:pt idx="4">
                  <c:v>11</c:v>
                </c:pt>
                <c:pt idx="5">
                  <c:v>12.2</c:v>
                </c:pt>
                <c:pt idx="6">
                  <c:v>5.2</c:v>
                </c:pt>
                <c:pt idx="7">
                  <c:v>1.2</c:v>
                </c:pt>
              </c:numCache>
            </c:numRef>
          </c:val>
          <c:extLst>
            <c:ext xmlns:c16="http://schemas.microsoft.com/office/drawing/2014/chart" uri="{C3380CC4-5D6E-409C-BE32-E72D297353CC}">
              <c16:uniqueId val="{00000001-C39C-4C74-BA6F-7EB15F66C737}"/>
            </c:ext>
          </c:extLst>
        </c:ser>
        <c:dLbls>
          <c:showLegendKey val="0"/>
          <c:showVal val="1"/>
          <c:showCatName val="0"/>
          <c:showSerName val="0"/>
          <c:showPercent val="0"/>
          <c:showBubbleSize val="0"/>
        </c:dLbls>
        <c:gapWidth val="75"/>
        <c:axId val="304177152"/>
        <c:axId val="304178688"/>
      </c:barChart>
      <c:catAx>
        <c:axId val="304177152"/>
        <c:scaling>
          <c:orientation val="maxMin"/>
        </c:scaling>
        <c:delete val="0"/>
        <c:axPos val="l"/>
        <c:numFmt formatCode="General" sourceLinked="0"/>
        <c:majorTickMark val="none"/>
        <c:minorTickMark val="none"/>
        <c:tickLblPos val="nextTo"/>
        <c:txPr>
          <a:bodyPr rot="0" vert="horz"/>
          <a:lstStyle/>
          <a:p>
            <a:pPr>
              <a:defRPr/>
            </a:pPr>
            <a:endParaRPr lang="ru-RU"/>
          </a:p>
        </c:txPr>
        <c:crossAx val="304178688"/>
        <c:crosses val="autoZero"/>
        <c:auto val="1"/>
        <c:lblAlgn val="ctr"/>
        <c:lblOffset val="100"/>
        <c:noMultiLvlLbl val="0"/>
      </c:catAx>
      <c:valAx>
        <c:axId val="304178688"/>
        <c:scaling>
          <c:orientation val="minMax"/>
        </c:scaling>
        <c:delete val="1"/>
        <c:axPos val="t"/>
        <c:numFmt formatCode="0.0" sourceLinked="1"/>
        <c:majorTickMark val="out"/>
        <c:minorTickMark val="none"/>
        <c:tickLblPos val="none"/>
        <c:crossAx val="304177152"/>
        <c:crosses val="autoZero"/>
        <c:crossBetween val="between"/>
      </c:valAx>
    </c:plotArea>
    <c:legend>
      <c:legendPos val="t"/>
      <c:layout>
        <c:manualLayout>
          <c:xMode val="edge"/>
          <c:yMode val="edge"/>
          <c:x val="0.4032558690580344"/>
          <c:y val="3.424052762635444E-2"/>
          <c:w val="0.31763526981807688"/>
          <c:h val="3.3115751835368377E-2"/>
        </c:manualLayout>
      </c:layout>
      <c:overlay val="0"/>
    </c:legend>
    <c:plotVisOnly val="1"/>
    <c:dispBlanksAs val="gap"/>
    <c:showDLblsOverMax val="0"/>
  </c:chart>
  <c:spPr>
    <a:ln>
      <a:solidFill>
        <a:sysClr val="window" lastClr="FFFFFF">
          <a:lumMod val="65000"/>
        </a:sysClr>
      </a:solidFill>
    </a:ln>
  </c:spPr>
  <c:txPr>
    <a:bodyPr/>
    <a:lstStyle/>
    <a:p>
      <a:pPr>
        <a:defRPr>
          <a:latin typeface="Garamond" panose="02020404030301010803" pitchFamily="18" charset="0"/>
        </a:defRPr>
      </a:pPr>
      <a:endParaRPr lang="ru-RU"/>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474810440361696E-2"/>
          <c:y val="5.7330440229062384E-2"/>
          <c:w val="0.94905048633626676"/>
          <c:h val="0.6583263242662849"/>
        </c:manualLayout>
      </c:layout>
      <c:barChart>
        <c:barDir val="col"/>
        <c:grouping val="clustered"/>
        <c:varyColors val="0"/>
        <c:ser>
          <c:idx val="0"/>
          <c:order val="0"/>
          <c:tx>
            <c:strRef>
              <c:f>Лист1!$B$1</c:f>
              <c:strCache>
                <c:ptCount val="1"/>
                <c:pt idx="0">
                  <c:v>2018</c:v>
                </c:pt>
              </c:strCache>
            </c:strRef>
          </c:tx>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Низкий</c:v>
                </c:pt>
                <c:pt idx="1">
                  <c:v>Средний</c:v>
                </c:pt>
                <c:pt idx="2">
                  <c:v>Высокий</c:v>
                </c:pt>
              </c:strCache>
            </c:strRef>
          </c:cat>
          <c:val>
            <c:numRef>
              <c:f>Лист1!$B$2:$B$4</c:f>
              <c:numCache>
                <c:formatCode>General</c:formatCode>
                <c:ptCount val="3"/>
                <c:pt idx="0">
                  <c:v>38.1</c:v>
                </c:pt>
                <c:pt idx="1">
                  <c:v>35.5</c:v>
                </c:pt>
                <c:pt idx="2">
                  <c:v>26.4</c:v>
                </c:pt>
              </c:numCache>
            </c:numRef>
          </c:val>
          <c:extLst>
            <c:ext xmlns:c16="http://schemas.microsoft.com/office/drawing/2014/chart" uri="{C3380CC4-5D6E-409C-BE32-E72D297353CC}">
              <c16:uniqueId val="{00000000-EABB-4D4B-90A6-62279F09E7E1}"/>
            </c:ext>
          </c:extLst>
        </c:ser>
        <c:ser>
          <c:idx val="1"/>
          <c:order val="1"/>
          <c:tx>
            <c:strRef>
              <c:f>Лист1!$C$1</c:f>
              <c:strCache>
                <c:ptCount val="1"/>
                <c:pt idx="0">
                  <c:v>2019</c:v>
                </c:pt>
              </c:strCache>
            </c:strRef>
          </c:tx>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Низкий</c:v>
                </c:pt>
                <c:pt idx="1">
                  <c:v>Средний</c:v>
                </c:pt>
                <c:pt idx="2">
                  <c:v>Высокий</c:v>
                </c:pt>
              </c:strCache>
            </c:strRef>
          </c:cat>
          <c:val>
            <c:numRef>
              <c:f>Лист1!$C$2:$C$4</c:f>
              <c:numCache>
                <c:formatCode>General</c:formatCode>
                <c:ptCount val="3"/>
                <c:pt idx="0">
                  <c:v>36</c:v>
                </c:pt>
                <c:pt idx="1">
                  <c:v>39.1</c:v>
                </c:pt>
                <c:pt idx="2">
                  <c:v>24.9</c:v>
                </c:pt>
              </c:numCache>
            </c:numRef>
          </c:val>
          <c:extLst>
            <c:ext xmlns:c16="http://schemas.microsoft.com/office/drawing/2014/chart" uri="{C3380CC4-5D6E-409C-BE32-E72D297353CC}">
              <c16:uniqueId val="{00000001-EABB-4D4B-90A6-62279F09E7E1}"/>
            </c:ext>
          </c:extLst>
        </c:ser>
        <c:dLbls>
          <c:showLegendKey val="0"/>
          <c:showVal val="1"/>
          <c:showCatName val="0"/>
          <c:showSerName val="0"/>
          <c:showPercent val="0"/>
          <c:showBubbleSize val="0"/>
        </c:dLbls>
        <c:gapWidth val="75"/>
        <c:axId val="304564480"/>
        <c:axId val="304570368"/>
      </c:barChart>
      <c:catAx>
        <c:axId val="304564480"/>
        <c:scaling>
          <c:orientation val="minMax"/>
        </c:scaling>
        <c:delete val="0"/>
        <c:axPos val="b"/>
        <c:numFmt formatCode="General" sourceLinked="0"/>
        <c:majorTickMark val="none"/>
        <c:minorTickMark val="none"/>
        <c:tickLblPos val="nextTo"/>
        <c:crossAx val="304570368"/>
        <c:crosses val="autoZero"/>
        <c:auto val="1"/>
        <c:lblAlgn val="ctr"/>
        <c:lblOffset val="100"/>
        <c:noMultiLvlLbl val="0"/>
      </c:catAx>
      <c:valAx>
        <c:axId val="304570368"/>
        <c:scaling>
          <c:orientation val="minMax"/>
        </c:scaling>
        <c:delete val="1"/>
        <c:axPos val="l"/>
        <c:numFmt formatCode="General" sourceLinked="1"/>
        <c:majorTickMark val="out"/>
        <c:minorTickMark val="none"/>
        <c:tickLblPos val="none"/>
        <c:crossAx val="304564480"/>
        <c:crosses val="autoZero"/>
        <c:crossBetween val="between"/>
      </c:valAx>
    </c:plotArea>
    <c:legend>
      <c:legendPos val="t"/>
      <c:layout>
        <c:manualLayout>
          <c:xMode val="edge"/>
          <c:yMode val="edge"/>
          <c:x val="0.29214475794692335"/>
          <c:y val="0.86443987115246967"/>
          <c:w val="0.32094397054534868"/>
          <c:h val="9.7233484112358201E-2"/>
        </c:manualLayout>
      </c:layout>
      <c:overlay val="0"/>
    </c:legend>
    <c:plotVisOnly val="1"/>
    <c:dispBlanksAs val="gap"/>
    <c:showDLblsOverMax val="0"/>
  </c:chart>
  <c:spPr>
    <a:ln>
      <a:solidFill>
        <a:schemeClr val="bg1">
          <a:lumMod val="75000"/>
        </a:schemeClr>
      </a:solidFill>
    </a:ln>
  </c:spPr>
  <c:txPr>
    <a:bodyPr/>
    <a:lstStyle/>
    <a:p>
      <a:pPr>
        <a:defRPr>
          <a:latin typeface="Garamond" panose="02020404030301010803" pitchFamily="18" charset="0"/>
        </a:defRPr>
      </a:pPr>
      <a:endParaRPr lang="ru-RU"/>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1645432341790609"/>
          <c:y val="7.2356710740165836E-2"/>
          <c:w val="0.48123086176727908"/>
          <c:h val="0.92392760450819456"/>
        </c:manualLayout>
      </c:layout>
      <c:barChart>
        <c:barDir val="bar"/>
        <c:grouping val="clustered"/>
        <c:varyColors val="0"/>
        <c:ser>
          <c:idx val="0"/>
          <c:order val="0"/>
          <c:tx>
            <c:strRef>
              <c:f>Лист1!$B$1</c:f>
              <c:strCache>
                <c:ptCount val="1"/>
                <c:pt idx="0">
                  <c:v>2019</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Налоговое стимулирование ответственных предпринимателей</c:v>
                </c:pt>
                <c:pt idx="1">
                  <c:v>Преодоление практики избыточного регулирования, устранение административного давления</c:v>
                </c:pt>
                <c:pt idx="2">
                  <c:v>Предоставление ответственным предпринимателям преимущество в доступе к гос заказам, более выгодные условия кредитования</c:v>
                </c:pt>
                <c:pt idx="3">
                  <c:v>Повышение прозрачности процессов ПР и подотчетность госструктур</c:v>
                </c:pt>
                <c:pt idx="4">
                  <c:v>Участие бюджетных средств в финансировании/инвестировании соцобъектов</c:v>
                </c:pt>
                <c:pt idx="5">
                  <c:v>Публичное признание результатов ответственной деловой практики</c:v>
                </c:pt>
              </c:strCache>
            </c:strRef>
          </c:cat>
          <c:val>
            <c:numRef>
              <c:f>Лист1!$B$2:$B$7</c:f>
              <c:numCache>
                <c:formatCode>General</c:formatCode>
                <c:ptCount val="6"/>
                <c:pt idx="0">
                  <c:v>74</c:v>
                </c:pt>
                <c:pt idx="1">
                  <c:v>57.8</c:v>
                </c:pt>
                <c:pt idx="2">
                  <c:v>49.5</c:v>
                </c:pt>
                <c:pt idx="3">
                  <c:v>43.7</c:v>
                </c:pt>
                <c:pt idx="4">
                  <c:v>43</c:v>
                </c:pt>
                <c:pt idx="5">
                  <c:v>36.800000000000004</c:v>
                </c:pt>
              </c:numCache>
            </c:numRef>
          </c:val>
          <c:extLst>
            <c:ext xmlns:c16="http://schemas.microsoft.com/office/drawing/2014/chart" uri="{C3380CC4-5D6E-409C-BE32-E72D297353CC}">
              <c16:uniqueId val="{00000000-422E-4527-811A-19B4B585334F}"/>
            </c:ext>
          </c:extLst>
        </c:ser>
        <c:ser>
          <c:idx val="1"/>
          <c:order val="1"/>
          <c:tx>
            <c:strRef>
              <c:f>Лист1!$C$1</c:f>
              <c:strCache>
                <c:ptCount val="1"/>
                <c:pt idx="0">
                  <c:v>2018</c:v>
                </c:pt>
              </c:strCache>
            </c:strRef>
          </c:tx>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Налоговое стимулирование ответственных предпринимателей</c:v>
                </c:pt>
                <c:pt idx="1">
                  <c:v>Преодоление практики избыточного регулирования, устранение административного давления</c:v>
                </c:pt>
                <c:pt idx="2">
                  <c:v>Предоставление ответственным предпринимателям преимущество в доступе к гос заказам, более выгодные условия кредитования</c:v>
                </c:pt>
                <c:pt idx="3">
                  <c:v>Повышение прозрачности процессов ПР и подотчетность госструктур</c:v>
                </c:pt>
                <c:pt idx="4">
                  <c:v>Участие бюджетных средств в финансировании/инвестировании соцобъектов</c:v>
                </c:pt>
                <c:pt idx="5">
                  <c:v>Публичное признание результатов ответственной деловой практики</c:v>
                </c:pt>
              </c:strCache>
            </c:strRef>
          </c:cat>
          <c:val>
            <c:numRef>
              <c:f>Лист1!$C$2:$C$7</c:f>
              <c:numCache>
                <c:formatCode>General</c:formatCode>
                <c:ptCount val="6"/>
                <c:pt idx="0">
                  <c:v>69.400000000000006</c:v>
                </c:pt>
                <c:pt idx="1">
                  <c:v>44</c:v>
                </c:pt>
                <c:pt idx="2">
                  <c:v>54.4</c:v>
                </c:pt>
                <c:pt idx="3">
                  <c:v>35.800000000000004</c:v>
                </c:pt>
                <c:pt idx="4">
                  <c:v>36.300000000000004</c:v>
                </c:pt>
                <c:pt idx="5">
                  <c:v>21.2</c:v>
                </c:pt>
              </c:numCache>
            </c:numRef>
          </c:val>
          <c:extLst>
            <c:ext xmlns:c16="http://schemas.microsoft.com/office/drawing/2014/chart" uri="{C3380CC4-5D6E-409C-BE32-E72D297353CC}">
              <c16:uniqueId val="{00000001-422E-4527-811A-19B4B585334F}"/>
            </c:ext>
          </c:extLst>
        </c:ser>
        <c:dLbls>
          <c:showLegendKey val="0"/>
          <c:showVal val="1"/>
          <c:showCatName val="0"/>
          <c:showSerName val="0"/>
          <c:showPercent val="0"/>
          <c:showBubbleSize val="0"/>
        </c:dLbls>
        <c:gapWidth val="90"/>
        <c:axId val="304965504"/>
        <c:axId val="304967040"/>
      </c:barChart>
      <c:catAx>
        <c:axId val="304965504"/>
        <c:scaling>
          <c:orientation val="maxMin"/>
        </c:scaling>
        <c:delete val="0"/>
        <c:axPos val="l"/>
        <c:numFmt formatCode="General" sourceLinked="0"/>
        <c:majorTickMark val="none"/>
        <c:minorTickMark val="none"/>
        <c:tickLblPos val="nextTo"/>
        <c:txPr>
          <a:bodyPr rot="0" vert="horz"/>
          <a:lstStyle/>
          <a:p>
            <a:pPr>
              <a:defRPr/>
            </a:pPr>
            <a:endParaRPr lang="ru-RU"/>
          </a:p>
        </c:txPr>
        <c:crossAx val="304967040"/>
        <c:crosses val="autoZero"/>
        <c:auto val="1"/>
        <c:lblAlgn val="ctr"/>
        <c:lblOffset val="100"/>
        <c:noMultiLvlLbl val="0"/>
      </c:catAx>
      <c:valAx>
        <c:axId val="304967040"/>
        <c:scaling>
          <c:orientation val="minMax"/>
        </c:scaling>
        <c:delete val="1"/>
        <c:axPos val="t"/>
        <c:numFmt formatCode="General" sourceLinked="1"/>
        <c:majorTickMark val="out"/>
        <c:minorTickMark val="none"/>
        <c:tickLblPos val="none"/>
        <c:crossAx val="304965504"/>
        <c:crosses val="autoZero"/>
        <c:crossBetween val="between"/>
      </c:valAx>
    </c:plotArea>
    <c:legend>
      <c:legendPos val="t"/>
      <c:layout>
        <c:manualLayout>
          <c:xMode val="edge"/>
          <c:yMode val="edge"/>
          <c:x val="0.5861262394284048"/>
          <c:y val="1.999540682414698E-2"/>
          <c:w val="0.24070793234179114"/>
          <c:h val="4.7603893263342092E-2"/>
        </c:manualLayout>
      </c:layout>
      <c:overlay val="0"/>
    </c:legend>
    <c:plotVisOnly val="1"/>
    <c:dispBlanksAs val="gap"/>
    <c:showDLblsOverMax val="0"/>
  </c:chart>
  <c:spPr>
    <a:ln>
      <a:solidFill>
        <a:sysClr val="window" lastClr="FFFFFF">
          <a:lumMod val="75000"/>
        </a:sysClr>
      </a:solidFill>
    </a:ln>
  </c:spPr>
  <c:txPr>
    <a:bodyPr/>
    <a:lstStyle/>
    <a:p>
      <a:pPr>
        <a:defRPr>
          <a:latin typeface="Garamond" panose="02020404030301010803" pitchFamily="18" charset="0"/>
        </a:defRPr>
      </a:pPr>
      <a:endParaRPr lang="ru-RU"/>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087441264963822"/>
          <c:y val="0.11594081174635765"/>
          <c:w val="0.59125587350361763"/>
          <c:h val="0.85922235682078263"/>
        </c:manualLayout>
      </c:layout>
      <c:barChart>
        <c:barDir val="bar"/>
        <c:grouping val="clustered"/>
        <c:varyColors val="0"/>
        <c:ser>
          <c:idx val="0"/>
          <c:order val="0"/>
          <c:tx>
            <c:strRef>
              <c:f>Лист1!$B$1</c:f>
              <c:strCache>
                <c:ptCount val="1"/>
                <c:pt idx="0">
                  <c:v>2019</c:v>
                </c:pt>
              </c:strCache>
            </c:strRef>
          </c:tx>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Помощь социально незащищенным гражданам, которые связаны с компанией</c:v>
                </c:pt>
                <c:pt idx="1">
                  <c:v>Помощь конкретным социальным учреждениям, не находящимся на балансе компании</c:v>
                </c:pt>
                <c:pt idx="2">
                  <c:v>Реализация социальных программ для работников компании</c:v>
                </c:pt>
                <c:pt idx="3">
                  <c:v>Помощь социально незащищенным гражданам, которые никак не связаны с компанией</c:v>
                </c:pt>
                <c:pt idx="4">
                  <c:v>Уборка, озеленение муниципальной территории</c:v>
                </c:pt>
              </c:strCache>
            </c:strRef>
          </c:cat>
          <c:val>
            <c:numRef>
              <c:f>Лист1!$B$2:$B$6</c:f>
              <c:numCache>
                <c:formatCode>0.00</c:formatCode>
                <c:ptCount val="5"/>
                <c:pt idx="0">
                  <c:v>74.3</c:v>
                </c:pt>
                <c:pt idx="1">
                  <c:v>73</c:v>
                </c:pt>
                <c:pt idx="2">
                  <c:v>59.9</c:v>
                </c:pt>
                <c:pt idx="3">
                  <c:v>58.6</c:v>
                </c:pt>
                <c:pt idx="4">
                  <c:v>55.4</c:v>
                </c:pt>
              </c:numCache>
            </c:numRef>
          </c:val>
          <c:extLst>
            <c:ext xmlns:c16="http://schemas.microsoft.com/office/drawing/2014/chart" uri="{C3380CC4-5D6E-409C-BE32-E72D297353CC}">
              <c16:uniqueId val="{00000000-428F-4B7C-8A30-D59A7CD9642F}"/>
            </c:ext>
          </c:extLst>
        </c:ser>
        <c:ser>
          <c:idx val="1"/>
          <c:order val="1"/>
          <c:tx>
            <c:strRef>
              <c:f>Лист1!$C$1</c:f>
              <c:strCache>
                <c:ptCount val="1"/>
                <c:pt idx="0">
                  <c:v>2018</c:v>
                </c:pt>
              </c:strCache>
            </c:strRef>
          </c:tx>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Помощь социально незащищенным гражданам, которые связаны с компанией</c:v>
                </c:pt>
                <c:pt idx="1">
                  <c:v>Помощь конкретным социальным учреждениям, не находящимся на балансе компании</c:v>
                </c:pt>
                <c:pt idx="2">
                  <c:v>Реализация социальных программ для работников компании</c:v>
                </c:pt>
                <c:pt idx="3">
                  <c:v>Помощь социально незащищенным гражданам, которые никак не связаны с компанией</c:v>
                </c:pt>
                <c:pt idx="4">
                  <c:v>Уборка, озеленение муниципальной территории</c:v>
                </c:pt>
              </c:strCache>
            </c:strRef>
          </c:cat>
          <c:val>
            <c:numRef>
              <c:f>Лист1!$C$2:$C$6</c:f>
              <c:numCache>
                <c:formatCode>0.00</c:formatCode>
                <c:ptCount val="5"/>
                <c:pt idx="0">
                  <c:v>63.7</c:v>
                </c:pt>
                <c:pt idx="1">
                  <c:v>62.6</c:v>
                </c:pt>
                <c:pt idx="2">
                  <c:v>50.9</c:v>
                </c:pt>
                <c:pt idx="3">
                  <c:v>52.6</c:v>
                </c:pt>
                <c:pt idx="4">
                  <c:v>50.3</c:v>
                </c:pt>
              </c:numCache>
            </c:numRef>
          </c:val>
          <c:extLst>
            <c:ext xmlns:c16="http://schemas.microsoft.com/office/drawing/2014/chart" uri="{C3380CC4-5D6E-409C-BE32-E72D297353CC}">
              <c16:uniqueId val="{00000001-428F-4B7C-8A30-D59A7CD9642F}"/>
            </c:ext>
          </c:extLst>
        </c:ser>
        <c:dLbls>
          <c:showLegendKey val="0"/>
          <c:showVal val="1"/>
          <c:showCatName val="0"/>
          <c:showSerName val="0"/>
          <c:showPercent val="0"/>
          <c:showBubbleSize val="0"/>
        </c:dLbls>
        <c:gapWidth val="90"/>
        <c:axId val="305001984"/>
        <c:axId val="305003520"/>
      </c:barChart>
      <c:catAx>
        <c:axId val="305001984"/>
        <c:scaling>
          <c:orientation val="maxMin"/>
        </c:scaling>
        <c:delete val="0"/>
        <c:axPos val="l"/>
        <c:numFmt formatCode="General" sourceLinked="0"/>
        <c:majorTickMark val="none"/>
        <c:minorTickMark val="none"/>
        <c:tickLblPos val="nextTo"/>
        <c:txPr>
          <a:bodyPr rot="0" vert="horz"/>
          <a:lstStyle/>
          <a:p>
            <a:pPr>
              <a:defRPr/>
            </a:pPr>
            <a:endParaRPr lang="ru-RU"/>
          </a:p>
        </c:txPr>
        <c:crossAx val="305003520"/>
        <c:crosses val="autoZero"/>
        <c:auto val="1"/>
        <c:lblAlgn val="ctr"/>
        <c:lblOffset val="100"/>
        <c:noMultiLvlLbl val="0"/>
      </c:catAx>
      <c:valAx>
        <c:axId val="305003520"/>
        <c:scaling>
          <c:orientation val="minMax"/>
        </c:scaling>
        <c:delete val="1"/>
        <c:axPos val="t"/>
        <c:numFmt formatCode="0.00" sourceLinked="1"/>
        <c:majorTickMark val="out"/>
        <c:minorTickMark val="none"/>
        <c:tickLblPos val="none"/>
        <c:crossAx val="305001984"/>
        <c:crosses val="autoZero"/>
        <c:crossBetween val="between"/>
      </c:valAx>
    </c:plotArea>
    <c:legend>
      <c:legendPos val="t"/>
      <c:layout>
        <c:manualLayout>
          <c:xMode val="edge"/>
          <c:yMode val="edge"/>
          <c:x val="0.57108558991101643"/>
          <c:y val="2.9835643238322187E-2"/>
          <c:w val="0.15029562768068622"/>
          <c:h val="8.4316858916620746E-2"/>
        </c:manualLayout>
      </c:layout>
      <c:overlay val="0"/>
    </c:legend>
    <c:plotVisOnly val="1"/>
    <c:dispBlanksAs val="gap"/>
    <c:showDLblsOverMax val="0"/>
  </c:chart>
  <c:spPr>
    <a:ln>
      <a:solidFill>
        <a:sysClr val="window" lastClr="FFFFFF">
          <a:lumMod val="75000"/>
        </a:sysClr>
      </a:solidFill>
    </a:ln>
  </c:spPr>
  <c:txPr>
    <a:bodyPr/>
    <a:lstStyle/>
    <a:p>
      <a:pPr>
        <a:defRPr>
          <a:latin typeface="Garamond" panose="02020404030301010803" pitchFamily="18" charset="0"/>
        </a:defRPr>
      </a:pPr>
      <a:endParaRPr lang="ru-RU"/>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0659351452036235"/>
          <c:y val="5.2758557761604416E-2"/>
          <c:w val="0.59340648547963759"/>
          <c:h val="0.92630741259775307"/>
        </c:manualLayout>
      </c:layout>
      <c:barChart>
        <c:barDir val="bar"/>
        <c:grouping val="clustered"/>
        <c:varyColors val="0"/>
        <c:ser>
          <c:idx val="0"/>
          <c:order val="0"/>
          <c:tx>
            <c:strRef>
              <c:f>Лист1!$B$1</c:f>
              <c:strCache>
                <c:ptCount val="1"/>
                <c:pt idx="0">
                  <c:v>2019</c:v>
                </c:pt>
              </c:strCache>
            </c:strRef>
          </c:tx>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Лист1!$A$2:$A$14</c:f>
              <c:strCache>
                <c:ptCount val="13"/>
                <c:pt idx="0">
                  <c:v>Спонсорская помощь региональным/городским программам</c:v>
                </c:pt>
                <c:pt idx="1">
                  <c:v>Поддержка образования и профессиональная подготовка детей и пдростков</c:v>
                </c:pt>
                <c:pt idx="2">
                  <c:v>Проведение детской оздоровительной компании</c:v>
                </c:pt>
                <c:pt idx="3">
                  <c:v>Обучающие программы для детей и профориентация </c:v>
                </c:pt>
                <c:pt idx="4">
                  <c:v>Реализация молодежных социальных корпоративных проектов</c:v>
                </c:pt>
                <c:pt idx="5">
                  <c:v>Содействие региональным программам занятости безработных</c:v>
                </c:pt>
                <c:pt idx="6">
                  <c:v>Финансирование социальных объектов и жилья, не находящихся на балансе компании</c:v>
                </c:pt>
                <c:pt idx="7">
                  <c:v>Финансирование мероприятий по улучшению экологической обстановки в регионе</c:v>
                </c:pt>
                <c:pt idx="8">
                  <c:v>Строительство жилья, др. соц объектов для нужд работников компании</c:v>
                </c:pt>
                <c:pt idx="9">
                  <c:v>Реализация совместных с рег властями/муницип. непрофильных проектов в социальной сфере</c:v>
                </c:pt>
                <c:pt idx="10">
                  <c:v>Обеспечение теплом, электроэнергией объектов, находящихся в собственности рег. и мун. властей</c:v>
                </c:pt>
                <c:pt idx="11">
                  <c:v>Поддержка развития малого бизнеса</c:v>
                </c:pt>
                <c:pt idx="12">
                  <c:v>Предоставление «особых» условий при заключении договоров с льготными категориями</c:v>
                </c:pt>
              </c:strCache>
            </c:strRef>
          </c:cat>
          <c:val>
            <c:numRef>
              <c:f>Лист1!$B$2:$B$14</c:f>
              <c:numCache>
                <c:formatCode>General</c:formatCode>
                <c:ptCount val="13"/>
                <c:pt idx="0" formatCode="0.00">
                  <c:v>39.6</c:v>
                </c:pt>
                <c:pt idx="1">
                  <c:v>35.1</c:v>
                </c:pt>
                <c:pt idx="2" formatCode="0.00">
                  <c:v>34.200000000000003</c:v>
                </c:pt>
                <c:pt idx="3" formatCode="0.00">
                  <c:v>33.299999999999997</c:v>
                </c:pt>
                <c:pt idx="4" formatCode="0.00">
                  <c:v>31.5</c:v>
                </c:pt>
                <c:pt idx="5" formatCode="0.00">
                  <c:v>23.4</c:v>
                </c:pt>
                <c:pt idx="6" formatCode="0.00">
                  <c:v>23</c:v>
                </c:pt>
                <c:pt idx="7" formatCode="0.00">
                  <c:v>22.5</c:v>
                </c:pt>
                <c:pt idx="8">
                  <c:v>20.7</c:v>
                </c:pt>
                <c:pt idx="9" formatCode="0.00">
                  <c:v>17.600000000000001</c:v>
                </c:pt>
                <c:pt idx="10">
                  <c:v>13.5</c:v>
                </c:pt>
                <c:pt idx="11">
                  <c:v>12.2</c:v>
                </c:pt>
                <c:pt idx="12">
                  <c:v>3.6</c:v>
                </c:pt>
              </c:numCache>
            </c:numRef>
          </c:val>
          <c:extLst>
            <c:ext xmlns:c16="http://schemas.microsoft.com/office/drawing/2014/chart" uri="{C3380CC4-5D6E-409C-BE32-E72D297353CC}">
              <c16:uniqueId val="{00000000-FDBD-469A-A1C0-EFECA783F840}"/>
            </c:ext>
          </c:extLst>
        </c:ser>
        <c:ser>
          <c:idx val="1"/>
          <c:order val="1"/>
          <c:tx>
            <c:strRef>
              <c:f>Лист1!$C$1</c:f>
              <c:strCache>
                <c:ptCount val="1"/>
                <c:pt idx="0">
                  <c:v>2018</c:v>
                </c:pt>
              </c:strCache>
            </c:strRef>
          </c:tx>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Лист1!$A$2:$A$14</c:f>
              <c:strCache>
                <c:ptCount val="13"/>
                <c:pt idx="0">
                  <c:v>Спонсорская помощь региональным/городским программам</c:v>
                </c:pt>
                <c:pt idx="1">
                  <c:v>Поддержка образования и профессиональная подготовка детей и пдростков</c:v>
                </c:pt>
                <c:pt idx="2">
                  <c:v>Проведение детской оздоровительной компании</c:v>
                </c:pt>
                <c:pt idx="3">
                  <c:v>Обучающие программы для детей и профориентация </c:v>
                </c:pt>
                <c:pt idx="4">
                  <c:v>Реализация молодежных социальных корпоративных проектов</c:v>
                </c:pt>
                <c:pt idx="5">
                  <c:v>Содействие региональным программам занятости безработных</c:v>
                </c:pt>
                <c:pt idx="6">
                  <c:v>Финансирование социальных объектов и жилья, не находящихся на балансе компании</c:v>
                </c:pt>
                <c:pt idx="7">
                  <c:v>Финансирование мероприятий по улучшению экологической обстановки в регионе</c:v>
                </c:pt>
                <c:pt idx="8">
                  <c:v>Строительство жилья, др. соц объектов для нужд работников компании</c:v>
                </c:pt>
                <c:pt idx="9">
                  <c:v>Реализация совместных с рег властями/муницип. непрофильных проектов в социальной сфере</c:v>
                </c:pt>
                <c:pt idx="10">
                  <c:v>Обеспечение теплом, электроэнергией объектов, находящихся в собственности рег. и мун. властей</c:v>
                </c:pt>
                <c:pt idx="11">
                  <c:v>Поддержка развития малого бизнеса</c:v>
                </c:pt>
                <c:pt idx="12">
                  <c:v>Предоставление «особых» условий при заключении договоров с льготными категориями</c:v>
                </c:pt>
              </c:strCache>
            </c:strRef>
          </c:cat>
          <c:val>
            <c:numRef>
              <c:f>Лист1!$C$2:$C$14</c:f>
              <c:numCache>
                <c:formatCode>General</c:formatCode>
                <c:ptCount val="13"/>
                <c:pt idx="0" formatCode="0.00">
                  <c:v>35.700000000000003</c:v>
                </c:pt>
                <c:pt idx="2" formatCode="0.00">
                  <c:v>25.7</c:v>
                </c:pt>
                <c:pt idx="3" formatCode="0.00">
                  <c:v>18.100000000000001</c:v>
                </c:pt>
                <c:pt idx="4" formatCode="0.00">
                  <c:v>25.1</c:v>
                </c:pt>
                <c:pt idx="5" formatCode="0.00">
                  <c:v>26.9</c:v>
                </c:pt>
                <c:pt idx="6" formatCode="0.00">
                  <c:v>14.6</c:v>
                </c:pt>
                <c:pt idx="7" formatCode="0.00">
                  <c:v>15.8</c:v>
                </c:pt>
                <c:pt idx="8">
                  <c:v>11.7</c:v>
                </c:pt>
                <c:pt idx="9" formatCode="0.00">
                  <c:v>11.7</c:v>
                </c:pt>
                <c:pt idx="10">
                  <c:v>19.899999999999999</c:v>
                </c:pt>
                <c:pt idx="11">
                  <c:v>11.7</c:v>
                </c:pt>
                <c:pt idx="12">
                  <c:v>1.2</c:v>
                </c:pt>
              </c:numCache>
            </c:numRef>
          </c:val>
          <c:extLst>
            <c:ext xmlns:c16="http://schemas.microsoft.com/office/drawing/2014/chart" uri="{C3380CC4-5D6E-409C-BE32-E72D297353CC}">
              <c16:uniqueId val="{00000001-FDBD-469A-A1C0-EFECA783F840}"/>
            </c:ext>
          </c:extLst>
        </c:ser>
        <c:dLbls>
          <c:showLegendKey val="0"/>
          <c:showVal val="1"/>
          <c:showCatName val="0"/>
          <c:showSerName val="0"/>
          <c:showPercent val="0"/>
          <c:showBubbleSize val="0"/>
        </c:dLbls>
        <c:gapWidth val="75"/>
        <c:axId val="304813184"/>
        <c:axId val="304814720"/>
      </c:barChart>
      <c:catAx>
        <c:axId val="304813184"/>
        <c:scaling>
          <c:orientation val="maxMin"/>
        </c:scaling>
        <c:delete val="0"/>
        <c:axPos val="l"/>
        <c:numFmt formatCode="General" sourceLinked="0"/>
        <c:majorTickMark val="none"/>
        <c:minorTickMark val="none"/>
        <c:tickLblPos val="nextTo"/>
        <c:txPr>
          <a:bodyPr rot="0" vert="horz"/>
          <a:lstStyle/>
          <a:p>
            <a:pPr>
              <a:defRPr/>
            </a:pPr>
            <a:endParaRPr lang="ru-RU"/>
          </a:p>
        </c:txPr>
        <c:crossAx val="304814720"/>
        <c:crosses val="autoZero"/>
        <c:auto val="1"/>
        <c:lblAlgn val="ctr"/>
        <c:lblOffset val="100"/>
        <c:noMultiLvlLbl val="0"/>
      </c:catAx>
      <c:valAx>
        <c:axId val="304814720"/>
        <c:scaling>
          <c:orientation val="minMax"/>
        </c:scaling>
        <c:delete val="1"/>
        <c:axPos val="t"/>
        <c:numFmt formatCode="0.00" sourceLinked="1"/>
        <c:majorTickMark val="out"/>
        <c:minorTickMark val="none"/>
        <c:tickLblPos val="none"/>
        <c:crossAx val="304813184"/>
        <c:crosses val="autoZero"/>
        <c:crossBetween val="between"/>
      </c:valAx>
    </c:plotArea>
    <c:legend>
      <c:legendPos val="t"/>
      <c:layout>
        <c:manualLayout>
          <c:xMode val="edge"/>
          <c:yMode val="edge"/>
          <c:x val="0.37356701380069463"/>
          <c:y val="7.6285534730693924E-3"/>
          <c:w val="0.5447824908983151"/>
          <c:h val="2.9257194323180795E-2"/>
        </c:manualLayout>
      </c:layout>
      <c:overlay val="0"/>
    </c:legend>
    <c:plotVisOnly val="1"/>
    <c:dispBlanksAs val="gap"/>
    <c:showDLblsOverMax val="0"/>
  </c:chart>
  <c:spPr>
    <a:ln>
      <a:solidFill>
        <a:sysClr val="window" lastClr="FFFFFF">
          <a:lumMod val="75000"/>
        </a:sysClr>
      </a:solidFill>
    </a:ln>
  </c:spPr>
  <c:txPr>
    <a:bodyPr/>
    <a:lstStyle/>
    <a:p>
      <a:pPr>
        <a:defRPr>
          <a:latin typeface="Garamond" panose="02020404030301010803" pitchFamily="18" charset="0"/>
        </a:defRPr>
      </a:pPr>
      <a:endParaRPr lang="ru-RU"/>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Меры поддержки персонала в острую фазу распространения</a:t>
            </a:r>
          </a:p>
          <a:p>
            <a:pPr>
              <a:defRPr sz="1200"/>
            </a:pPr>
            <a:r>
              <a:rPr lang="en-US" sz="1200"/>
              <a:t>Covid-19</a:t>
            </a:r>
            <a:endParaRPr lang="ru-RU" sz="1200"/>
          </a:p>
        </c:rich>
      </c:tx>
      <c:layout>
        <c:manualLayout>
          <c:xMode val="edge"/>
          <c:yMode val="edge"/>
          <c:x val="0.15704477036217176"/>
          <c:y val="0"/>
        </c:manualLayout>
      </c:layout>
      <c:overlay val="0"/>
    </c:title>
    <c:autoTitleDeleted val="0"/>
    <c:plotArea>
      <c:layout>
        <c:manualLayout>
          <c:layoutTarget val="inner"/>
          <c:xMode val="edge"/>
          <c:yMode val="edge"/>
          <c:x val="0.49098136917813123"/>
          <c:y val="9.3897274698370226E-2"/>
          <c:w val="0.48122600655676995"/>
          <c:h val="0.88536180013071486"/>
        </c:manualLayout>
      </c:layout>
      <c:barChart>
        <c:barDir val="bar"/>
        <c:grouping val="stacked"/>
        <c:varyColors val="0"/>
        <c:ser>
          <c:idx val="0"/>
          <c:order val="0"/>
          <c:tx>
            <c:strRef>
              <c:f>Лист1!$B$1</c:f>
              <c:strCache>
                <c:ptCount val="1"/>
                <c:pt idx="0">
                  <c:v>Столбец1</c:v>
                </c:pt>
              </c:strCache>
            </c:strRef>
          </c:tx>
          <c:spPr>
            <a:solidFill>
              <a:srgbClr val="4F81BD">
                <a:alpha val="50000"/>
              </a:srgbClr>
            </a:solidFill>
          </c:spPr>
          <c:invertIfNegative val="0"/>
          <c:dPt>
            <c:idx val="0"/>
            <c:invertIfNegative val="0"/>
            <c:bubble3D val="0"/>
            <c:spPr>
              <a:solidFill>
                <a:srgbClr val="4F81BD">
                  <a:alpha val="90000"/>
                </a:srgbClr>
              </a:solidFill>
            </c:spPr>
            <c:extLst>
              <c:ext xmlns:c16="http://schemas.microsoft.com/office/drawing/2014/chart" uri="{C3380CC4-5D6E-409C-BE32-E72D297353CC}">
                <c16:uniqueId val="{00000001-B956-4B0D-BDCF-FE91959975A7}"/>
              </c:ext>
            </c:extLst>
          </c:dPt>
          <c:dPt>
            <c:idx val="1"/>
            <c:invertIfNegative val="0"/>
            <c:bubble3D val="0"/>
            <c:spPr>
              <a:solidFill>
                <a:srgbClr val="4F81BD">
                  <a:alpha val="90000"/>
                </a:srgbClr>
              </a:solidFill>
            </c:spPr>
            <c:extLst>
              <c:ext xmlns:c16="http://schemas.microsoft.com/office/drawing/2014/chart" uri="{C3380CC4-5D6E-409C-BE32-E72D297353CC}">
                <c16:uniqueId val="{00000003-B956-4B0D-BDCF-FE91959975A7}"/>
              </c:ext>
            </c:extLst>
          </c:dPt>
          <c:dPt>
            <c:idx val="2"/>
            <c:invertIfNegative val="0"/>
            <c:bubble3D val="0"/>
            <c:spPr>
              <a:solidFill>
                <a:srgbClr val="4F81BD">
                  <a:alpha val="90000"/>
                </a:srgbClr>
              </a:solidFill>
            </c:spPr>
            <c:extLst>
              <c:ext xmlns:c16="http://schemas.microsoft.com/office/drawing/2014/chart" uri="{C3380CC4-5D6E-409C-BE32-E72D297353CC}">
                <c16:uniqueId val="{00000005-B956-4B0D-BDCF-FE91959975A7}"/>
              </c:ext>
            </c:extLst>
          </c:dPt>
          <c:dLbls>
            <c:dLbl>
              <c:idx val="0"/>
              <c:layout>
                <c:manualLayout>
                  <c:x val="-8.5515766969534238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956-4B0D-BDCF-FE91959975A7}"/>
                </c:ext>
              </c:extLst>
            </c:dLbl>
            <c:dLbl>
              <c:idx val="3"/>
              <c:layout>
                <c:manualLayout>
                  <c:x val="9.4067343666488543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956-4B0D-BDCF-FE91959975A7}"/>
                </c:ext>
              </c:extLst>
            </c:dLbl>
            <c:dLbl>
              <c:idx val="4"/>
              <c:layout>
                <c:manualLayout>
                  <c:x val="8.765366114377332E-2"/>
                  <c:y val="2.635046113306983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956-4B0D-BDCF-FE91959975A7}"/>
                </c:ext>
              </c:extLst>
            </c:dLbl>
            <c:dLbl>
              <c:idx val="5"/>
              <c:layout>
                <c:manualLayout>
                  <c:x val="6.4136825227151265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956-4B0D-BDCF-FE91959975A7}"/>
                </c:ext>
              </c:extLst>
            </c:dLbl>
            <c:dLbl>
              <c:idx val="6"/>
              <c:layout>
                <c:manualLayout>
                  <c:x val="5.7723142704436126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956-4B0D-BDCF-FE91959975A7}"/>
                </c:ext>
              </c:extLst>
            </c:dLbl>
            <c:dLbl>
              <c:idx val="7"/>
              <c:layout>
                <c:manualLayout>
                  <c:x val="5.1309460181721014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956-4B0D-BDCF-FE91959975A7}"/>
                </c:ext>
              </c:extLst>
            </c:dLbl>
            <c:dLbl>
              <c:idx val="8"/>
              <c:layout>
                <c:manualLayout>
                  <c:x val="4.4895777659005896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956-4B0D-BDCF-FE91959975A7}"/>
                </c:ext>
              </c:extLst>
            </c:dLbl>
            <c:dLbl>
              <c:idx val="9"/>
              <c:layout>
                <c:manualLayout>
                  <c:x val="4.7033671833244292E-2"/>
                  <c:y val="2.635046113306983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956-4B0D-BDCF-FE91959975A7}"/>
                </c:ext>
              </c:extLst>
            </c:dLbl>
            <c:dLbl>
              <c:idx val="10"/>
              <c:layout>
                <c:manualLayout>
                  <c:x val="4.2757883484767507E-2"/>
                  <c:y val="-9.6617241357305947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956-4B0D-BDCF-FE91959975A7}"/>
                </c:ext>
              </c:extLst>
            </c:dLbl>
            <c:dLbl>
              <c:idx val="11"/>
              <c:layout>
                <c:manualLayout>
                  <c:x val="3.6344200962052382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956-4B0D-BDCF-FE91959975A7}"/>
                </c:ext>
              </c:extLst>
            </c:dLbl>
            <c:numFmt formatCode="0.0%" sourceLinked="0"/>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Лист1!$A$2:$A$14</c:f>
              <c:strCache>
                <c:ptCount val="13"/>
                <c:pt idx="0">
                  <c:v>Обеспечение работников средствами защиты</c:v>
                </c:pt>
                <c:pt idx="1">
                  <c:v>Сохранение всех выплат, предусмотренных в организации</c:v>
                </c:pt>
                <c:pt idx="2">
                  <c:v>Приобретение техники, оборудования для обеспечения безопасности на рабочих местах</c:v>
                </c:pt>
                <c:pt idx="3">
                  <c:v>Приобретение техники для обеспечения дистанционной работы</c:v>
                </c:pt>
                <c:pt idx="4">
                  <c:v>Оплата доставки сотрудников до места работы</c:v>
                </c:pt>
                <c:pt idx="5">
                  <c:v>Доплаты работникам, находящимся на больничном</c:v>
                </c:pt>
                <c:pt idx="6">
                  <c:v>Оплата услуг связи и интернета сотрудникам, работающим удалённо</c:v>
                </c:pt>
                <c:pt idx="7">
                  <c:v>Оплата медпомощи заболевшим сотрудникам</c:v>
                </c:pt>
                <c:pt idx="8">
                  <c:v>Выплата дополнительных средств для покупки сотрудниками защитных средств</c:v>
                </c:pt>
                <c:pt idx="9">
                  <c:v>Оплата горячего питания для сотрудников</c:v>
                </c:pt>
                <c:pt idx="10">
                  <c:v>Выплата сотрудникам материальной помощи</c:v>
                </c:pt>
                <c:pt idx="11">
                  <c:v>Оплата дополнительных услуг для сотрудников, работающих удалённо</c:v>
                </c:pt>
                <c:pt idx="12">
                  <c:v>Другое</c:v>
                </c:pt>
              </c:strCache>
            </c:strRef>
          </c:cat>
          <c:val>
            <c:numRef>
              <c:f>Лист1!$B$2:$B$14</c:f>
              <c:numCache>
                <c:formatCode>###0.0%</c:formatCode>
                <c:ptCount val="13"/>
                <c:pt idx="0">
                  <c:v>0.95300000000000007</c:v>
                </c:pt>
                <c:pt idx="1">
                  <c:v>0.83300000000000007</c:v>
                </c:pt>
                <c:pt idx="2">
                  <c:v>0.79800000000000004</c:v>
                </c:pt>
                <c:pt idx="3">
                  <c:v>0.29200000000000004</c:v>
                </c:pt>
                <c:pt idx="4">
                  <c:v>0.26700000000000002</c:v>
                </c:pt>
                <c:pt idx="5">
                  <c:v>0.14800000000000002</c:v>
                </c:pt>
                <c:pt idx="6">
                  <c:v>0.10900000000000001</c:v>
                </c:pt>
                <c:pt idx="7">
                  <c:v>9.7000000000000003E-2</c:v>
                </c:pt>
                <c:pt idx="8">
                  <c:v>8.9000000000000037E-2</c:v>
                </c:pt>
                <c:pt idx="9">
                  <c:v>7.8000000000000014E-2</c:v>
                </c:pt>
                <c:pt idx="10">
                  <c:v>6.6000000000000003E-2</c:v>
                </c:pt>
                <c:pt idx="11">
                  <c:v>3.500000000000001E-2</c:v>
                </c:pt>
                <c:pt idx="12">
                  <c:v>3.500000000000001E-2</c:v>
                </c:pt>
              </c:numCache>
            </c:numRef>
          </c:val>
          <c:extLst>
            <c:ext xmlns:c16="http://schemas.microsoft.com/office/drawing/2014/chart" uri="{C3380CC4-5D6E-409C-BE32-E72D297353CC}">
              <c16:uniqueId val="{0000000F-B956-4B0D-BDCF-FE91959975A7}"/>
            </c:ext>
          </c:extLst>
        </c:ser>
        <c:dLbls>
          <c:showLegendKey val="0"/>
          <c:showVal val="0"/>
          <c:showCatName val="0"/>
          <c:showSerName val="0"/>
          <c:showPercent val="0"/>
          <c:showBubbleSize val="0"/>
        </c:dLbls>
        <c:gapWidth val="75"/>
        <c:overlap val="100"/>
        <c:axId val="200733056"/>
        <c:axId val="200734592"/>
      </c:barChart>
      <c:catAx>
        <c:axId val="200733056"/>
        <c:scaling>
          <c:orientation val="maxMin"/>
        </c:scaling>
        <c:delete val="0"/>
        <c:axPos val="l"/>
        <c:numFmt formatCode="General" sourceLinked="0"/>
        <c:majorTickMark val="none"/>
        <c:minorTickMark val="none"/>
        <c:tickLblPos val="nextTo"/>
        <c:crossAx val="200734592"/>
        <c:crosses val="autoZero"/>
        <c:auto val="1"/>
        <c:lblAlgn val="ctr"/>
        <c:lblOffset val="100"/>
        <c:noMultiLvlLbl val="0"/>
      </c:catAx>
      <c:valAx>
        <c:axId val="200734592"/>
        <c:scaling>
          <c:orientation val="minMax"/>
        </c:scaling>
        <c:delete val="0"/>
        <c:axPos val="t"/>
        <c:numFmt formatCode="###0.0%" sourceLinked="1"/>
        <c:majorTickMark val="none"/>
        <c:minorTickMark val="none"/>
        <c:tickLblPos val="none"/>
        <c:crossAx val="200733056"/>
        <c:crosses val="autoZero"/>
        <c:crossBetween val="between"/>
      </c:valAx>
    </c:plotArea>
    <c:plotVisOnly val="1"/>
    <c:dispBlanksAs val="gap"/>
    <c:showDLblsOverMax val="0"/>
  </c:chart>
  <c:txPr>
    <a:bodyPr/>
    <a:lstStyle/>
    <a:p>
      <a:pPr>
        <a:defRPr>
          <a:latin typeface="Garamond" pitchFamily="18" charset="0"/>
        </a:defRPr>
      </a:pPr>
      <a:endParaRPr lang="ru-RU"/>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1791184974139056"/>
          <c:y val="7.087635938496005E-2"/>
          <c:w val="0.55906303000206159"/>
          <c:h val="0.89973226740061074"/>
        </c:manualLayout>
      </c:layout>
      <c:barChart>
        <c:barDir val="bar"/>
        <c:grouping val="clustered"/>
        <c:varyColors val="0"/>
        <c:ser>
          <c:idx val="0"/>
          <c:order val="0"/>
          <c:tx>
            <c:strRef>
              <c:f>Лист1!$B$1</c:f>
              <c:strCache>
                <c:ptCount val="1"/>
                <c:pt idx="0">
                  <c:v>2019</c:v>
                </c:pt>
              </c:strCache>
            </c:strRef>
          </c:tx>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Квалифицированные рабочие </c:v>
                </c:pt>
                <c:pt idx="1">
                  <c:v>Специалисты высшего уровня профессиональной квалификации</c:v>
                </c:pt>
                <c:pt idx="2">
                  <c:v>Операторы, аппаратчики, машинисты установок и машин</c:v>
                </c:pt>
                <c:pt idx="3">
                  <c:v>Специалисты среднего уровня профессиональной квалификации</c:v>
                </c:pt>
                <c:pt idx="4">
                  <c:v>Руководители организаций и их структурных подразделений</c:v>
                </c:pt>
                <c:pt idx="5">
                  <c:v>Неквалифицированные рабочие</c:v>
                </c:pt>
                <c:pt idx="6">
                  <c:v>Работники, занятые подготовкой информации, оформлением документации, учетом и обслуживанием</c:v>
                </c:pt>
              </c:strCache>
            </c:strRef>
          </c:cat>
          <c:val>
            <c:numRef>
              <c:f>Лист1!$B$2:$B$8</c:f>
              <c:numCache>
                <c:formatCode>General</c:formatCode>
                <c:ptCount val="7"/>
                <c:pt idx="0">
                  <c:v>57.1</c:v>
                </c:pt>
                <c:pt idx="1">
                  <c:v>47.4</c:v>
                </c:pt>
                <c:pt idx="2">
                  <c:v>40.1</c:v>
                </c:pt>
                <c:pt idx="3">
                  <c:v>34.9</c:v>
                </c:pt>
                <c:pt idx="4">
                  <c:v>27.7</c:v>
                </c:pt>
                <c:pt idx="5">
                  <c:v>19.7</c:v>
                </c:pt>
                <c:pt idx="6">
                  <c:v>19.7</c:v>
                </c:pt>
              </c:numCache>
            </c:numRef>
          </c:val>
          <c:extLst>
            <c:ext xmlns:c16="http://schemas.microsoft.com/office/drawing/2014/chart" uri="{C3380CC4-5D6E-409C-BE32-E72D297353CC}">
              <c16:uniqueId val="{00000000-BE0B-45CA-9094-24FF28B07861}"/>
            </c:ext>
          </c:extLst>
        </c:ser>
        <c:ser>
          <c:idx val="1"/>
          <c:order val="1"/>
          <c:tx>
            <c:strRef>
              <c:f>Лист1!$C$1</c:f>
              <c:strCache>
                <c:ptCount val="1"/>
                <c:pt idx="0">
                  <c:v>2018</c:v>
                </c:pt>
              </c:strCache>
            </c:strRef>
          </c:tx>
          <c:invertIfNegative val="0"/>
          <c:dLbls>
            <c:numFmt formatCode="#,##0.0" sourceLinked="0"/>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Квалифицированные рабочие </c:v>
                </c:pt>
                <c:pt idx="1">
                  <c:v>Специалисты высшего уровня профессиональной квалификации</c:v>
                </c:pt>
                <c:pt idx="2">
                  <c:v>Операторы, аппаратчики, машинисты установок и машин</c:v>
                </c:pt>
                <c:pt idx="3">
                  <c:v>Специалисты среднего уровня профессиональной квалификации</c:v>
                </c:pt>
                <c:pt idx="4">
                  <c:v>Руководители организаций и их структурных подразделений</c:v>
                </c:pt>
                <c:pt idx="5">
                  <c:v>Неквалифицированные рабочие</c:v>
                </c:pt>
                <c:pt idx="6">
                  <c:v>Работники, занятые подготовкой информации, оформлением документации, учетом и обслуживанием</c:v>
                </c:pt>
              </c:strCache>
            </c:strRef>
          </c:cat>
          <c:val>
            <c:numRef>
              <c:f>Лист1!$C$2:$C$8</c:f>
              <c:numCache>
                <c:formatCode>General</c:formatCode>
                <c:ptCount val="7"/>
                <c:pt idx="0">
                  <c:v>63.7</c:v>
                </c:pt>
                <c:pt idx="1">
                  <c:v>55.9</c:v>
                </c:pt>
                <c:pt idx="2">
                  <c:v>44.6</c:v>
                </c:pt>
                <c:pt idx="3">
                  <c:v>42.6</c:v>
                </c:pt>
                <c:pt idx="4">
                  <c:v>28.4</c:v>
                </c:pt>
                <c:pt idx="5">
                  <c:v>19.600000000000001</c:v>
                </c:pt>
                <c:pt idx="6">
                  <c:v>15.7</c:v>
                </c:pt>
              </c:numCache>
            </c:numRef>
          </c:val>
          <c:extLst>
            <c:ext xmlns:c16="http://schemas.microsoft.com/office/drawing/2014/chart" uri="{C3380CC4-5D6E-409C-BE32-E72D297353CC}">
              <c16:uniqueId val="{00000001-BE0B-45CA-9094-24FF28B07861}"/>
            </c:ext>
          </c:extLst>
        </c:ser>
        <c:dLbls>
          <c:showLegendKey val="0"/>
          <c:showVal val="1"/>
          <c:showCatName val="0"/>
          <c:showSerName val="0"/>
          <c:showPercent val="0"/>
          <c:showBubbleSize val="0"/>
        </c:dLbls>
        <c:gapWidth val="90"/>
        <c:axId val="304775936"/>
        <c:axId val="304777472"/>
      </c:barChart>
      <c:catAx>
        <c:axId val="304775936"/>
        <c:scaling>
          <c:orientation val="maxMin"/>
        </c:scaling>
        <c:delete val="0"/>
        <c:axPos val="l"/>
        <c:numFmt formatCode="General" sourceLinked="0"/>
        <c:majorTickMark val="none"/>
        <c:minorTickMark val="none"/>
        <c:tickLblPos val="nextTo"/>
        <c:txPr>
          <a:bodyPr rot="0" vert="horz"/>
          <a:lstStyle/>
          <a:p>
            <a:pPr>
              <a:defRPr/>
            </a:pPr>
            <a:endParaRPr lang="ru-RU"/>
          </a:p>
        </c:txPr>
        <c:crossAx val="304777472"/>
        <c:crosses val="autoZero"/>
        <c:auto val="1"/>
        <c:lblAlgn val="ctr"/>
        <c:lblOffset val="100"/>
        <c:noMultiLvlLbl val="0"/>
      </c:catAx>
      <c:valAx>
        <c:axId val="304777472"/>
        <c:scaling>
          <c:orientation val="minMax"/>
        </c:scaling>
        <c:delete val="1"/>
        <c:axPos val="t"/>
        <c:numFmt formatCode="General" sourceLinked="1"/>
        <c:majorTickMark val="out"/>
        <c:minorTickMark val="none"/>
        <c:tickLblPos val="none"/>
        <c:crossAx val="304775936"/>
        <c:crosses val="autoZero"/>
        <c:crossBetween val="between"/>
      </c:valAx>
    </c:plotArea>
    <c:legend>
      <c:legendPos val="t"/>
      <c:layout>
        <c:manualLayout>
          <c:xMode val="edge"/>
          <c:yMode val="edge"/>
          <c:x val="0.48172958480126266"/>
          <c:y val="1.3600207965384796E-2"/>
          <c:w val="0.14622201701690896"/>
          <c:h val="5.8270661594026371E-2"/>
        </c:manualLayout>
      </c:layout>
      <c:overlay val="0"/>
    </c:legend>
    <c:plotVisOnly val="1"/>
    <c:dispBlanksAs val="gap"/>
    <c:showDLblsOverMax val="0"/>
  </c:chart>
  <c:spPr>
    <a:ln>
      <a:solidFill>
        <a:schemeClr val="bg1">
          <a:lumMod val="75000"/>
        </a:schemeClr>
      </a:solidFill>
    </a:ln>
  </c:spPr>
  <c:txPr>
    <a:bodyPr/>
    <a:lstStyle/>
    <a:p>
      <a:pPr>
        <a:defRPr>
          <a:latin typeface="Garamond" panose="02020404030301010803" pitchFamily="18" charset="0"/>
          <a:cs typeface="Times New Roman" pitchFamily="18" charset="0"/>
        </a:defRPr>
      </a:pPr>
      <a:endParaRPr lang="ru-RU"/>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177520039724775"/>
          <c:y val="5.5223778845826202E-2"/>
          <c:w val="0.69646573739093431"/>
          <c:h val="0.91582983945188912"/>
        </c:manualLayout>
      </c:layout>
      <c:barChart>
        <c:barDir val="bar"/>
        <c:grouping val="clustered"/>
        <c:varyColors val="0"/>
        <c:ser>
          <c:idx val="0"/>
          <c:order val="0"/>
          <c:tx>
            <c:strRef>
              <c:f>Лист1!$B$1</c:f>
              <c:strCache>
                <c:ptCount val="1"/>
                <c:pt idx="0">
                  <c:v>2019</c:v>
                </c:pt>
              </c:strCache>
            </c:strRef>
          </c:tx>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Гибкая рабочая неделя</c:v>
                </c:pt>
                <c:pt idx="1">
                  <c:v>Гибкая рабочая смена</c:v>
                </c:pt>
                <c:pt idx="2">
                  <c:v>Удалённое место работы</c:v>
                </c:pt>
                <c:pt idx="3">
                  <c:v>Вахтовый метод работы</c:v>
                </c:pt>
                <c:pt idx="4">
                  <c:v>Не действуют</c:v>
                </c:pt>
              </c:strCache>
            </c:strRef>
          </c:cat>
          <c:val>
            <c:numRef>
              <c:f>Лист1!$B$2:$B$6</c:f>
              <c:numCache>
                <c:formatCode>General</c:formatCode>
                <c:ptCount val="5"/>
                <c:pt idx="0">
                  <c:v>41.8</c:v>
                </c:pt>
                <c:pt idx="1">
                  <c:v>34.5</c:v>
                </c:pt>
                <c:pt idx="2">
                  <c:v>27.6</c:v>
                </c:pt>
                <c:pt idx="3">
                  <c:v>12.4</c:v>
                </c:pt>
                <c:pt idx="4">
                  <c:v>29.1</c:v>
                </c:pt>
              </c:numCache>
            </c:numRef>
          </c:val>
          <c:extLst>
            <c:ext xmlns:c16="http://schemas.microsoft.com/office/drawing/2014/chart" uri="{C3380CC4-5D6E-409C-BE32-E72D297353CC}">
              <c16:uniqueId val="{00000000-4ED5-4AD9-8999-6F1C77E68DF1}"/>
            </c:ext>
          </c:extLst>
        </c:ser>
        <c:dLbls>
          <c:showLegendKey val="0"/>
          <c:showVal val="1"/>
          <c:showCatName val="0"/>
          <c:showSerName val="0"/>
          <c:showPercent val="0"/>
          <c:showBubbleSize val="0"/>
        </c:dLbls>
        <c:gapWidth val="75"/>
        <c:axId val="305075712"/>
        <c:axId val="305119616"/>
      </c:barChart>
      <c:catAx>
        <c:axId val="305075712"/>
        <c:scaling>
          <c:orientation val="maxMin"/>
        </c:scaling>
        <c:delete val="0"/>
        <c:axPos val="l"/>
        <c:numFmt formatCode="General" sourceLinked="0"/>
        <c:majorTickMark val="none"/>
        <c:minorTickMark val="none"/>
        <c:tickLblPos val="nextTo"/>
        <c:txPr>
          <a:bodyPr rot="0" vert="horz"/>
          <a:lstStyle/>
          <a:p>
            <a:pPr>
              <a:defRPr/>
            </a:pPr>
            <a:endParaRPr lang="ru-RU"/>
          </a:p>
        </c:txPr>
        <c:crossAx val="305119616"/>
        <c:crosses val="autoZero"/>
        <c:auto val="1"/>
        <c:lblAlgn val="ctr"/>
        <c:lblOffset val="100"/>
        <c:noMultiLvlLbl val="0"/>
      </c:catAx>
      <c:valAx>
        <c:axId val="305119616"/>
        <c:scaling>
          <c:orientation val="minMax"/>
        </c:scaling>
        <c:delete val="1"/>
        <c:axPos val="t"/>
        <c:numFmt formatCode="General" sourceLinked="1"/>
        <c:majorTickMark val="out"/>
        <c:minorTickMark val="none"/>
        <c:tickLblPos val="none"/>
        <c:crossAx val="305075712"/>
        <c:crosses val="autoZero"/>
        <c:crossBetween val="between"/>
      </c:valAx>
    </c:plotArea>
    <c:plotVisOnly val="1"/>
    <c:dispBlanksAs val="gap"/>
    <c:showDLblsOverMax val="0"/>
  </c:chart>
  <c:spPr>
    <a:ln>
      <a:solidFill>
        <a:sysClr val="window" lastClr="FFFFFF">
          <a:lumMod val="65000"/>
        </a:sysClr>
      </a:solidFill>
    </a:ln>
  </c:spPr>
  <c:txPr>
    <a:bodyPr/>
    <a:lstStyle/>
    <a:p>
      <a:pPr>
        <a:defRPr>
          <a:latin typeface="Garamond" panose="02020404030301010803"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0898705650801408E-2"/>
          <c:y val="8.3997335174020082E-2"/>
          <c:w val="0.66571441065781811"/>
          <c:h val="0.71316231407739428"/>
        </c:manualLayout>
      </c:layout>
      <c:barChart>
        <c:barDir val="col"/>
        <c:grouping val="clustered"/>
        <c:varyColors val="0"/>
        <c:ser>
          <c:idx val="0"/>
          <c:order val="0"/>
          <c:tx>
            <c:strRef>
              <c:f>Лист1!$B$1</c:f>
              <c:strCache>
                <c:ptCount val="1"/>
                <c:pt idx="0">
                  <c:v>Собственные средства</c:v>
                </c:pt>
              </c:strCache>
            </c:strRef>
          </c:tx>
          <c:invertIfNegative val="0"/>
          <c:cat>
            <c:numRef>
              <c:f>Лист1!$A$2:$A$7</c:f>
              <c:numCache>
                <c:formatCode>General</c:formatCode>
                <c:ptCount val="6"/>
                <c:pt idx="0">
                  <c:v>2015</c:v>
                </c:pt>
                <c:pt idx="1">
                  <c:v>2016</c:v>
                </c:pt>
                <c:pt idx="2">
                  <c:v>2017</c:v>
                </c:pt>
                <c:pt idx="3">
                  <c:v>2018</c:v>
                </c:pt>
                <c:pt idx="4">
                  <c:v>2019</c:v>
                </c:pt>
                <c:pt idx="5">
                  <c:v>2020</c:v>
                </c:pt>
              </c:numCache>
            </c:numRef>
          </c:cat>
          <c:val>
            <c:numRef>
              <c:f>Лист1!$B$2:$B$7</c:f>
              <c:numCache>
                <c:formatCode>General</c:formatCode>
                <c:ptCount val="6"/>
                <c:pt idx="0">
                  <c:v>50.2</c:v>
                </c:pt>
                <c:pt idx="1">
                  <c:v>51</c:v>
                </c:pt>
                <c:pt idx="2">
                  <c:v>51.3</c:v>
                </c:pt>
                <c:pt idx="3">
                  <c:v>53</c:v>
                </c:pt>
                <c:pt idx="4">
                  <c:v>57.1</c:v>
                </c:pt>
                <c:pt idx="5">
                  <c:v>60.9</c:v>
                </c:pt>
              </c:numCache>
            </c:numRef>
          </c:val>
          <c:extLst>
            <c:ext xmlns:c16="http://schemas.microsoft.com/office/drawing/2014/chart" uri="{C3380CC4-5D6E-409C-BE32-E72D297353CC}">
              <c16:uniqueId val="{00000000-0248-4B35-B61C-B8A96EF27B40}"/>
            </c:ext>
          </c:extLst>
        </c:ser>
        <c:ser>
          <c:idx val="1"/>
          <c:order val="1"/>
          <c:tx>
            <c:strRef>
              <c:f>Лист1!$C$1</c:f>
              <c:strCache>
                <c:ptCount val="1"/>
                <c:pt idx="0">
                  <c:v>Кредиты банков</c:v>
                </c:pt>
              </c:strCache>
            </c:strRef>
          </c:tx>
          <c:invertIfNegative val="0"/>
          <c:cat>
            <c:numRef>
              <c:f>Лист1!$A$2:$A$7</c:f>
              <c:numCache>
                <c:formatCode>General</c:formatCode>
                <c:ptCount val="6"/>
                <c:pt idx="0">
                  <c:v>2015</c:v>
                </c:pt>
                <c:pt idx="1">
                  <c:v>2016</c:v>
                </c:pt>
                <c:pt idx="2">
                  <c:v>2017</c:v>
                </c:pt>
                <c:pt idx="3">
                  <c:v>2018</c:v>
                </c:pt>
                <c:pt idx="4">
                  <c:v>2019</c:v>
                </c:pt>
                <c:pt idx="5">
                  <c:v>2020</c:v>
                </c:pt>
              </c:numCache>
            </c:numRef>
          </c:cat>
          <c:val>
            <c:numRef>
              <c:f>Лист1!$C$2:$C$7</c:f>
              <c:numCache>
                <c:formatCode>General</c:formatCode>
                <c:ptCount val="6"/>
                <c:pt idx="0">
                  <c:v>8.1</c:v>
                </c:pt>
                <c:pt idx="1">
                  <c:v>10.4</c:v>
                </c:pt>
                <c:pt idx="2">
                  <c:v>11.2</c:v>
                </c:pt>
                <c:pt idx="3">
                  <c:v>11.2</c:v>
                </c:pt>
                <c:pt idx="4">
                  <c:v>8.6999999999999993</c:v>
                </c:pt>
                <c:pt idx="5">
                  <c:v>9.8000000000000007</c:v>
                </c:pt>
              </c:numCache>
            </c:numRef>
          </c:val>
          <c:extLst>
            <c:ext xmlns:c16="http://schemas.microsoft.com/office/drawing/2014/chart" uri="{C3380CC4-5D6E-409C-BE32-E72D297353CC}">
              <c16:uniqueId val="{00000001-0248-4B35-B61C-B8A96EF27B40}"/>
            </c:ext>
          </c:extLst>
        </c:ser>
        <c:ser>
          <c:idx val="2"/>
          <c:order val="2"/>
          <c:tx>
            <c:strRef>
              <c:f>Лист1!$D$1</c:f>
              <c:strCache>
                <c:ptCount val="1"/>
                <c:pt idx="0">
                  <c:v>Заемные средства других организаций</c:v>
                </c:pt>
              </c:strCache>
            </c:strRef>
          </c:tx>
          <c:invertIfNegative val="0"/>
          <c:cat>
            <c:numRef>
              <c:f>Лист1!$A$2:$A$7</c:f>
              <c:numCache>
                <c:formatCode>General</c:formatCode>
                <c:ptCount val="6"/>
                <c:pt idx="0">
                  <c:v>2015</c:v>
                </c:pt>
                <c:pt idx="1">
                  <c:v>2016</c:v>
                </c:pt>
                <c:pt idx="2">
                  <c:v>2017</c:v>
                </c:pt>
                <c:pt idx="3">
                  <c:v>2018</c:v>
                </c:pt>
                <c:pt idx="4">
                  <c:v>2019</c:v>
                </c:pt>
                <c:pt idx="5">
                  <c:v>2020</c:v>
                </c:pt>
              </c:numCache>
            </c:numRef>
          </c:cat>
          <c:val>
            <c:numRef>
              <c:f>Лист1!$D$2:$D$7</c:f>
              <c:numCache>
                <c:formatCode>General</c:formatCode>
                <c:ptCount val="6"/>
                <c:pt idx="0">
                  <c:v>6.7</c:v>
                </c:pt>
                <c:pt idx="1">
                  <c:v>6</c:v>
                </c:pt>
                <c:pt idx="2">
                  <c:v>5.4</c:v>
                </c:pt>
                <c:pt idx="3">
                  <c:v>4.3</c:v>
                </c:pt>
                <c:pt idx="4">
                  <c:v>4.5</c:v>
                </c:pt>
                <c:pt idx="5">
                  <c:v>5.5</c:v>
                </c:pt>
              </c:numCache>
            </c:numRef>
          </c:val>
          <c:extLst>
            <c:ext xmlns:c16="http://schemas.microsoft.com/office/drawing/2014/chart" uri="{C3380CC4-5D6E-409C-BE32-E72D297353CC}">
              <c16:uniqueId val="{00000002-0248-4B35-B61C-B8A96EF27B40}"/>
            </c:ext>
          </c:extLst>
        </c:ser>
        <c:ser>
          <c:idx val="3"/>
          <c:order val="3"/>
          <c:tx>
            <c:strRef>
              <c:f>Лист1!$E$1</c:f>
              <c:strCache>
                <c:ptCount val="1"/>
                <c:pt idx="0">
                  <c:v>Бюджетные средства</c:v>
                </c:pt>
              </c:strCache>
            </c:strRef>
          </c:tx>
          <c:invertIfNegative val="0"/>
          <c:cat>
            <c:numRef>
              <c:f>Лист1!$A$2:$A$7</c:f>
              <c:numCache>
                <c:formatCode>General</c:formatCode>
                <c:ptCount val="6"/>
                <c:pt idx="0">
                  <c:v>2015</c:v>
                </c:pt>
                <c:pt idx="1">
                  <c:v>2016</c:v>
                </c:pt>
                <c:pt idx="2">
                  <c:v>2017</c:v>
                </c:pt>
                <c:pt idx="3">
                  <c:v>2018</c:v>
                </c:pt>
                <c:pt idx="4">
                  <c:v>2019</c:v>
                </c:pt>
                <c:pt idx="5">
                  <c:v>2020</c:v>
                </c:pt>
              </c:numCache>
            </c:numRef>
          </c:cat>
          <c:val>
            <c:numRef>
              <c:f>Лист1!$E$2:$E$7</c:f>
              <c:numCache>
                <c:formatCode>General</c:formatCode>
                <c:ptCount val="6"/>
                <c:pt idx="0">
                  <c:v>18.3</c:v>
                </c:pt>
                <c:pt idx="1">
                  <c:v>16.399999999999999</c:v>
                </c:pt>
                <c:pt idx="2">
                  <c:v>16.3</c:v>
                </c:pt>
                <c:pt idx="3">
                  <c:v>15.3</c:v>
                </c:pt>
                <c:pt idx="4">
                  <c:v>15.8</c:v>
                </c:pt>
                <c:pt idx="5">
                  <c:v>12.8</c:v>
                </c:pt>
              </c:numCache>
            </c:numRef>
          </c:val>
          <c:extLst>
            <c:ext xmlns:c16="http://schemas.microsoft.com/office/drawing/2014/chart" uri="{C3380CC4-5D6E-409C-BE32-E72D297353CC}">
              <c16:uniqueId val="{00000003-0248-4B35-B61C-B8A96EF27B40}"/>
            </c:ext>
          </c:extLst>
        </c:ser>
        <c:ser>
          <c:idx val="4"/>
          <c:order val="4"/>
          <c:tx>
            <c:strRef>
              <c:f>Лист1!$F$1</c:f>
              <c:strCache>
                <c:ptCount val="1"/>
                <c:pt idx="0">
                  <c:v>Прочие</c:v>
                </c:pt>
              </c:strCache>
            </c:strRef>
          </c:tx>
          <c:invertIfNegative val="0"/>
          <c:cat>
            <c:numRef>
              <c:f>Лист1!$A$2:$A$7</c:f>
              <c:numCache>
                <c:formatCode>General</c:formatCode>
                <c:ptCount val="6"/>
                <c:pt idx="0">
                  <c:v>2015</c:v>
                </c:pt>
                <c:pt idx="1">
                  <c:v>2016</c:v>
                </c:pt>
                <c:pt idx="2">
                  <c:v>2017</c:v>
                </c:pt>
                <c:pt idx="3">
                  <c:v>2018</c:v>
                </c:pt>
                <c:pt idx="4">
                  <c:v>2019</c:v>
                </c:pt>
                <c:pt idx="5">
                  <c:v>2020</c:v>
                </c:pt>
              </c:numCache>
            </c:numRef>
          </c:cat>
          <c:val>
            <c:numRef>
              <c:f>Лист1!$F$2:$F$7</c:f>
              <c:numCache>
                <c:formatCode>General</c:formatCode>
                <c:ptCount val="6"/>
                <c:pt idx="0">
                  <c:v>16.7</c:v>
                </c:pt>
                <c:pt idx="1">
                  <c:v>16.2</c:v>
                </c:pt>
                <c:pt idx="2">
                  <c:v>15.8</c:v>
                </c:pt>
                <c:pt idx="3">
                  <c:v>16.2</c:v>
                </c:pt>
                <c:pt idx="4">
                  <c:v>13.9</c:v>
                </c:pt>
                <c:pt idx="5">
                  <c:v>11</c:v>
                </c:pt>
              </c:numCache>
            </c:numRef>
          </c:val>
          <c:extLst>
            <c:ext xmlns:c16="http://schemas.microsoft.com/office/drawing/2014/chart" uri="{C3380CC4-5D6E-409C-BE32-E72D297353CC}">
              <c16:uniqueId val="{00000004-0248-4B35-B61C-B8A96EF27B40}"/>
            </c:ext>
          </c:extLst>
        </c:ser>
        <c:dLbls>
          <c:showLegendKey val="0"/>
          <c:showVal val="0"/>
          <c:showCatName val="0"/>
          <c:showSerName val="0"/>
          <c:showPercent val="0"/>
          <c:showBubbleSize val="0"/>
        </c:dLbls>
        <c:gapWidth val="150"/>
        <c:axId val="450105728"/>
        <c:axId val="450107264"/>
      </c:barChart>
      <c:catAx>
        <c:axId val="450105728"/>
        <c:scaling>
          <c:orientation val="minMax"/>
        </c:scaling>
        <c:delete val="0"/>
        <c:axPos val="b"/>
        <c:numFmt formatCode="General" sourceLinked="1"/>
        <c:majorTickMark val="out"/>
        <c:minorTickMark val="none"/>
        <c:tickLblPos val="nextTo"/>
        <c:crossAx val="450107264"/>
        <c:crosses val="autoZero"/>
        <c:auto val="1"/>
        <c:lblAlgn val="ctr"/>
        <c:lblOffset val="100"/>
        <c:noMultiLvlLbl val="0"/>
      </c:catAx>
      <c:valAx>
        <c:axId val="450107264"/>
        <c:scaling>
          <c:orientation val="minMax"/>
        </c:scaling>
        <c:delete val="0"/>
        <c:axPos val="l"/>
        <c:numFmt formatCode="General" sourceLinked="1"/>
        <c:majorTickMark val="out"/>
        <c:minorTickMark val="none"/>
        <c:tickLblPos val="nextTo"/>
        <c:crossAx val="450105728"/>
        <c:crosses val="autoZero"/>
        <c:crossBetween val="between"/>
        <c:majorUnit val="15"/>
      </c:valAx>
    </c:plotArea>
    <c:legend>
      <c:legendPos val="r"/>
      <c:overlay val="0"/>
    </c:legend>
    <c:plotVisOnly val="1"/>
    <c:dispBlanksAs val="gap"/>
    <c:showDLblsOverMax val="0"/>
  </c:chart>
  <c:txPr>
    <a:bodyPr/>
    <a:lstStyle/>
    <a:p>
      <a:pPr>
        <a:defRPr>
          <a:latin typeface="Garamond" panose="02020404030301010803" pitchFamily="18" charset="0"/>
        </a:defRPr>
      </a:pPr>
      <a:endParaRPr lang="ru-RU"/>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Меры</a:t>
            </a:r>
            <a:r>
              <a:rPr lang="ru-RU" sz="1200" baseline="0"/>
              <a:t>, которые принимали компании в острую фазу </a:t>
            </a:r>
            <a:r>
              <a:rPr lang="en-US" sz="1200" baseline="0"/>
              <a:t>Covid-19 </a:t>
            </a:r>
            <a:r>
              <a:rPr lang="ru-RU" sz="1200" baseline="0"/>
              <a:t>для оптимизации потерь</a:t>
            </a:r>
            <a:endParaRPr lang="ru-RU" sz="1200"/>
          </a:p>
        </c:rich>
      </c:tx>
      <c:layout>
        <c:manualLayout>
          <c:xMode val="edge"/>
          <c:yMode val="edge"/>
          <c:x val="0.158214352559164"/>
          <c:y val="0"/>
        </c:manualLayout>
      </c:layout>
      <c:overlay val="0"/>
    </c:title>
    <c:autoTitleDeleted val="0"/>
    <c:plotArea>
      <c:layout>
        <c:manualLayout>
          <c:layoutTarget val="inner"/>
          <c:xMode val="edge"/>
          <c:yMode val="edge"/>
          <c:x val="0.47089852574398355"/>
          <c:y val="0.20306711661042412"/>
          <c:w val="0.50363841335753445"/>
          <c:h val="0.75328208973878252"/>
        </c:manualLayout>
      </c:layout>
      <c:barChart>
        <c:barDir val="bar"/>
        <c:grouping val="stacked"/>
        <c:varyColors val="0"/>
        <c:ser>
          <c:idx val="0"/>
          <c:order val="0"/>
          <c:tx>
            <c:strRef>
              <c:f>Лист1!$B$1</c:f>
              <c:strCache>
                <c:ptCount val="1"/>
                <c:pt idx="0">
                  <c:v>Для части сотрудников</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Перевод на удалённый режим</c:v>
                </c:pt>
                <c:pt idx="1">
                  <c:v>Введение сокращённого рабочего дня / недели</c:v>
                </c:pt>
                <c:pt idx="2">
                  <c:v>Предоставление по заявлению неоплачиваемого отпуска</c:v>
                </c:pt>
                <c:pt idx="3">
                  <c:v>Сокращение бюджета на соц.программы</c:v>
                </c:pt>
                <c:pt idx="5">
                  <c:v>Работа в обычном режиме</c:v>
                </c:pt>
                <c:pt idx="6">
                  <c:v>Приостановление приёма новых работников</c:v>
                </c:pt>
                <c:pt idx="7">
                  <c:v>Сокращение численности персонала</c:v>
                </c:pt>
                <c:pt idx="8">
                  <c:v>Сокращение зарплаты</c:v>
                </c:pt>
              </c:strCache>
            </c:strRef>
          </c:cat>
          <c:val>
            <c:numRef>
              <c:f>Лист1!$B$2:$B$10</c:f>
              <c:numCache>
                <c:formatCode>0.0%</c:formatCode>
                <c:ptCount val="9"/>
                <c:pt idx="0">
                  <c:v>0.72900000000000009</c:v>
                </c:pt>
                <c:pt idx="1">
                  <c:v>0.16700000000000001</c:v>
                </c:pt>
                <c:pt idx="2">
                  <c:v>0.16300000000000001</c:v>
                </c:pt>
                <c:pt idx="3">
                  <c:v>3.1000000000000003E-2</c:v>
                </c:pt>
              </c:numCache>
            </c:numRef>
          </c:val>
          <c:extLst>
            <c:ext xmlns:c16="http://schemas.microsoft.com/office/drawing/2014/chart" uri="{C3380CC4-5D6E-409C-BE32-E72D297353CC}">
              <c16:uniqueId val="{00000000-48C2-4FC6-9D77-58133724C940}"/>
            </c:ext>
          </c:extLst>
        </c:ser>
        <c:ser>
          <c:idx val="1"/>
          <c:order val="1"/>
          <c:tx>
            <c:strRef>
              <c:f>Лист1!$C$1</c:f>
              <c:strCache>
                <c:ptCount val="1"/>
                <c:pt idx="0">
                  <c:v>Для всех сотрудников</c:v>
                </c:pt>
              </c:strCache>
            </c:strRef>
          </c:tx>
          <c:invertIfNegative val="0"/>
          <c:dLbls>
            <c:dLbl>
              <c:idx val="0"/>
              <c:layout>
                <c:manualLayout>
                  <c:x val="5.9701492537313446E-2"/>
                  <c:y val="3.1910904753927045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8C2-4FC6-9D77-58133724C940}"/>
                </c:ext>
              </c:extLst>
            </c:dLbl>
            <c:dLbl>
              <c:idx val="1"/>
              <c:layout>
                <c:manualLayout>
                  <c:x val="4.8645660585959073E-2"/>
                  <c:y val="3.1910904753927045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8C2-4FC6-9D77-58133724C940}"/>
                </c:ext>
              </c:extLst>
            </c:dLbl>
            <c:dLbl>
              <c:idx val="2"/>
              <c:layout>
                <c:manualLayout>
                  <c:x val="3.5378662244333885E-2"/>
                  <c:y val="3.1910904753927045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8C2-4FC6-9D77-58133724C940}"/>
                </c:ext>
              </c:extLst>
            </c:dLbl>
            <c:dLbl>
              <c:idx val="3"/>
              <c:layout>
                <c:manualLayout>
                  <c:x val="4.2012161415146507E-2"/>
                  <c:y val="2.8719814278534342E-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8C2-4FC6-9D77-58133724C940}"/>
                </c:ext>
              </c:extLst>
            </c:dLbl>
            <c:dLbl>
              <c:idx val="7"/>
              <c:layout>
                <c:manualLayout>
                  <c:x val="3.9800995024875635E-2"/>
                  <c:y val="3.1910904753927045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8C2-4FC6-9D77-58133724C940}"/>
                </c:ext>
              </c:extLst>
            </c:dLbl>
            <c:dLbl>
              <c:idx val="8"/>
              <c:layout>
                <c:manualLayout>
                  <c:x val="3.316749585406302E-2"/>
                  <c:y val="4.053004012796272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8C2-4FC6-9D77-58133724C94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Перевод на удалённый режим</c:v>
                </c:pt>
                <c:pt idx="1">
                  <c:v>Введение сокращённого рабочего дня / недели</c:v>
                </c:pt>
                <c:pt idx="2">
                  <c:v>Предоставление по заявлению неоплачиваемого отпуска</c:v>
                </c:pt>
                <c:pt idx="3">
                  <c:v>Сокращение бюджета на соц.программы</c:v>
                </c:pt>
                <c:pt idx="5">
                  <c:v>Работа в обычном режиме</c:v>
                </c:pt>
                <c:pt idx="6">
                  <c:v>Приостановление приёма новых работников</c:v>
                </c:pt>
                <c:pt idx="7">
                  <c:v>Сокращение численности персонала</c:v>
                </c:pt>
                <c:pt idx="8">
                  <c:v>Сокращение зарплаты</c:v>
                </c:pt>
              </c:strCache>
            </c:strRef>
          </c:cat>
          <c:val>
            <c:numRef>
              <c:f>Лист1!$C$2:$C$10</c:f>
              <c:numCache>
                <c:formatCode>0.0%</c:formatCode>
                <c:ptCount val="9"/>
                <c:pt idx="0">
                  <c:v>0.10500000000000001</c:v>
                </c:pt>
                <c:pt idx="1">
                  <c:v>4.3000000000000003E-2</c:v>
                </c:pt>
                <c:pt idx="2">
                  <c:v>8.0000000000000019E-3</c:v>
                </c:pt>
                <c:pt idx="3">
                  <c:v>1.2E-2</c:v>
                </c:pt>
                <c:pt idx="5">
                  <c:v>0.29100000000000004</c:v>
                </c:pt>
                <c:pt idx="6">
                  <c:v>0.28300000000000003</c:v>
                </c:pt>
                <c:pt idx="7">
                  <c:v>2.3E-2</c:v>
                </c:pt>
                <c:pt idx="8">
                  <c:v>2.0000000000000004E-2</c:v>
                </c:pt>
              </c:numCache>
            </c:numRef>
          </c:val>
          <c:extLst>
            <c:ext xmlns:c16="http://schemas.microsoft.com/office/drawing/2014/chart" uri="{C3380CC4-5D6E-409C-BE32-E72D297353CC}">
              <c16:uniqueId val="{00000007-48C2-4FC6-9D77-58133724C940}"/>
            </c:ext>
          </c:extLst>
        </c:ser>
        <c:dLbls>
          <c:showLegendKey val="0"/>
          <c:showVal val="1"/>
          <c:showCatName val="0"/>
          <c:showSerName val="0"/>
          <c:showPercent val="0"/>
          <c:showBubbleSize val="0"/>
        </c:dLbls>
        <c:gapWidth val="50"/>
        <c:overlap val="100"/>
        <c:axId val="202393856"/>
        <c:axId val="188018688"/>
      </c:barChart>
      <c:catAx>
        <c:axId val="202393856"/>
        <c:scaling>
          <c:orientation val="maxMin"/>
        </c:scaling>
        <c:delete val="0"/>
        <c:axPos val="l"/>
        <c:numFmt formatCode="General" sourceLinked="0"/>
        <c:majorTickMark val="none"/>
        <c:minorTickMark val="none"/>
        <c:tickLblPos val="nextTo"/>
        <c:crossAx val="188018688"/>
        <c:crosses val="autoZero"/>
        <c:auto val="1"/>
        <c:lblAlgn val="ctr"/>
        <c:lblOffset val="100"/>
        <c:noMultiLvlLbl val="0"/>
      </c:catAx>
      <c:valAx>
        <c:axId val="188018688"/>
        <c:scaling>
          <c:orientation val="minMax"/>
        </c:scaling>
        <c:delete val="1"/>
        <c:axPos val="t"/>
        <c:numFmt formatCode="0.0%" sourceLinked="1"/>
        <c:majorTickMark val="out"/>
        <c:minorTickMark val="none"/>
        <c:tickLblPos val="none"/>
        <c:crossAx val="202393856"/>
        <c:crosses val="autoZero"/>
        <c:crossBetween val="between"/>
      </c:valAx>
    </c:plotArea>
    <c:legend>
      <c:legendPos val="t"/>
      <c:layout>
        <c:manualLayout>
          <c:xMode val="edge"/>
          <c:yMode val="edge"/>
          <c:x val="0.45704548125514166"/>
          <c:y val="0.1481553103734374"/>
          <c:w val="0.54295451874485834"/>
          <c:h val="6.9452488651684505E-2"/>
        </c:manualLayout>
      </c:layout>
      <c:overlay val="0"/>
    </c:legend>
    <c:plotVisOnly val="1"/>
    <c:dispBlanksAs val="gap"/>
    <c:showDLblsOverMax val="0"/>
  </c:chart>
  <c:txPr>
    <a:bodyPr/>
    <a:lstStyle/>
    <a:p>
      <a:pPr>
        <a:defRPr>
          <a:latin typeface="Garamond" pitchFamily="18" charset="0"/>
        </a:defRPr>
      </a:pPr>
      <a:endParaRPr lang="ru-RU"/>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Возможное изменение рынка труда после пандемии: прогноз компаний</a:t>
            </a:r>
          </a:p>
        </c:rich>
      </c:tx>
      <c:layout>
        <c:manualLayout>
          <c:xMode val="edge"/>
          <c:yMode val="edge"/>
          <c:x val="0.17916527545909849"/>
          <c:y val="0"/>
        </c:manualLayout>
      </c:layout>
      <c:overlay val="0"/>
    </c:title>
    <c:autoTitleDeleted val="0"/>
    <c:plotArea>
      <c:layout>
        <c:manualLayout>
          <c:layoutTarget val="inner"/>
          <c:xMode val="edge"/>
          <c:yMode val="edge"/>
          <c:x val="0.48941798941798947"/>
          <c:y val="9.4724286224785278E-2"/>
          <c:w val="0.47193167520726587"/>
          <c:h val="0.89115923009623799"/>
        </c:manualLayout>
      </c:layout>
      <c:barChart>
        <c:barDir val="bar"/>
        <c:grouping val="clustered"/>
        <c:varyColors val="0"/>
        <c:ser>
          <c:idx val="0"/>
          <c:order val="0"/>
          <c:tx>
            <c:strRef>
              <c:f>Лист1!$B$1</c:f>
              <c:strCache>
                <c:ptCount val="1"/>
                <c:pt idx="0">
                  <c:v>Ряд 1</c:v>
                </c:pt>
              </c:strCache>
            </c:strRef>
          </c:tx>
          <c:spPr>
            <a:solidFill>
              <a:srgbClr val="1F497D">
                <a:alpha val="40000"/>
              </a:srgbClr>
            </a:solidFill>
          </c:spPr>
          <c:invertIfNegative val="0"/>
          <c:dPt>
            <c:idx val="0"/>
            <c:invertIfNegative val="0"/>
            <c:bubble3D val="0"/>
            <c:spPr>
              <a:solidFill>
                <a:srgbClr val="1F497D">
                  <a:alpha val="80000"/>
                </a:srgbClr>
              </a:solidFill>
            </c:spPr>
            <c:extLst>
              <c:ext xmlns:c16="http://schemas.microsoft.com/office/drawing/2014/chart" uri="{C3380CC4-5D6E-409C-BE32-E72D297353CC}">
                <c16:uniqueId val="{00000001-A371-4D96-B017-93B471B0E99F}"/>
              </c:ext>
            </c:extLst>
          </c:dPt>
          <c:dPt>
            <c:idx val="1"/>
            <c:invertIfNegative val="0"/>
            <c:bubble3D val="0"/>
            <c:spPr>
              <a:solidFill>
                <a:srgbClr val="1F497D">
                  <a:alpha val="80000"/>
                </a:srgbClr>
              </a:solidFill>
            </c:spPr>
            <c:extLst>
              <c:ext xmlns:c16="http://schemas.microsoft.com/office/drawing/2014/chart" uri="{C3380CC4-5D6E-409C-BE32-E72D297353CC}">
                <c16:uniqueId val="{00000003-A371-4D96-B017-93B471B0E99F}"/>
              </c:ext>
            </c:extLst>
          </c:dPt>
          <c:dPt>
            <c:idx val="8"/>
            <c:invertIfNegative val="0"/>
            <c:bubble3D val="0"/>
            <c:spPr>
              <a:solidFill>
                <a:srgbClr val="1F497D">
                  <a:alpha val="20000"/>
                </a:srgbClr>
              </a:solidFill>
            </c:spPr>
            <c:extLst>
              <c:ext xmlns:c16="http://schemas.microsoft.com/office/drawing/2014/chart" uri="{C3380CC4-5D6E-409C-BE32-E72D297353CC}">
                <c16:uniqueId val="{00000005-A371-4D96-B017-93B471B0E99F}"/>
              </c:ext>
            </c:extLst>
          </c:dPt>
          <c:dPt>
            <c:idx val="9"/>
            <c:invertIfNegative val="0"/>
            <c:bubble3D val="0"/>
            <c:spPr>
              <a:solidFill>
                <a:srgbClr val="1F497D">
                  <a:alpha val="20000"/>
                </a:srgbClr>
              </a:solidFill>
            </c:spPr>
            <c:extLst>
              <c:ext xmlns:c16="http://schemas.microsoft.com/office/drawing/2014/chart" uri="{C3380CC4-5D6E-409C-BE32-E72D297353CC}">
                <c16:uniqueId val="{00000007-A371-4D96-B017-93B471B0E99F}"/>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Число работников, работающих удалённо, вырастет</c:v>
                </c:pt>
                <c:pt idx="1">
                  <c:v>Требования к каждому сотруднику, в том числе в области знаний цифровых технологий, станут выше</c:v>
                </c:pt>
                <c:pt idx="2">
                  <c:v>Многие профессии перейдут в онлайн</c:v>
                </c:pt>
                <c:pt idx="3">
                  <c:v>Требования к соискателям работы станут жёстче</c:v>
                </c:pt>
                <c:pt idx="4">
                  <c:v>Поиск новых работников станет легче из-за роста безработицы </c:v>
                </c:pt>
                <c:pt idx="5">
                  <c:v>Общее число занятых сократится за счёт перевода рабочих процессов в автоматический режим</c:v>
                </c:pt>
                <c:pt idx="6">
                  <c:v>Сокращение или перевод сотрудников на неполную рабочий день</c:v>
                </c:pt>
                <c:pt idx="7">
                  <c:v>Масштабы частичной занятости, срочных трудовых договоров вырастут</c:v>
                </c:pt>
                <c:pt idx="8">
                  <c:v>Процедуры приёма на работу станут сложнее, удлинится процесс трудоустройства</c:v>
                </c:pt>
                <c:pt idx="9">
                  <c:v>Ничего не изменится (собственный вариант ответа)</c:v>
                </c:pt>
              </c:strCache>
            </c:strRef>
          </c:cat>
          <c:val>
            <c:numRef>
              <c:f>Лист1!$B$2:$B$11</c:f>
              <c:numCache>
                <c:formatCode>###0.0%</c:formatCode>
                <c:ptCount val="10"/>
                <c:pt idx="0">
                  <c:v>0.6170000000000001</c:v>
                </c:pt>
                <c:pt idx="1">
                  <c:v>0.51</c:v>
                </c:pt>
                <c:pt idx="2">
                  <c:v>0.33200000000000007</c:v>
                </c:pt>
                <c:pt idx="3">
                  <c:v>0.28100000000000008</c:v>
                </c:pt>
                <c:pt idx="4">
                  <c:v>0.28100000000000008</c:v>
                </c:pt>
                <c:pt idx="5">
                  <c:v>0.22500000000000001</c:v>
                </c:pt>
                <c:pt idx="6">
                  <c:v>0.221</c:v>
                </c:pt>
                <c:pt idx="7">
                  <c:v>0.21700000000000003</c:v>
                </c:pt>
                <c:pt idx="8">
                  <c:v>5.9000000000000004E-2</c:v>
                </c:pt>
                <c:pt idx="9">
                  <c:v>2.4E-2</c:v>
                </c:pt>
              </c:numCache>
            </c:numRef>
          </c:val>
          <c:extLst>
            <c:ext xmlns:c16="http://schemas.microsoft.com/office/drawing/2014/chart" uri="{C3380CC4-5D6E-409C-BE32-E72D297353CC}">
              <c16:uniqueId val="{00000008-A371-4D96-B017-93B471B0E99F}"/>
            </c:ext>
          </c:extLst>
        </c:ser>
        <c:dLbls>
          <c:showLegendKey val="0"/>
          <c:showVal val="0"/>
          <c:showCatName val="0"/>
          <c:showSerName val="0"/>
          <c:showPercent val="0"/>
          <c:showBubbleSize val="0"/>
        </c:dLbls>
        <c:gapWidth val="75"/>
        <c:axId val="210626048"/>
        <c:axId val="210627584"/>
      </c:barChart>
      <c:catAx>
        <c:axId val="210626048"/>
        <c:scaling>
          <c:orientation val="maxMin"/>
        </c:scaling>
        <c:delete val="0"/>
        <c:axPos val="l"/>
        <c:numFmt formatCode="General" sourceLinked="0"/>
        <c:majorTickMark val="out"/>
        <c:minorTickMark val="none"/>
        <c:tickLblPos val="nextTo"/>
        <c:crossAx val="210627584"/>
        <c:crosses val="autoZero"/>
        <c:auto val="1"/>
        <c:lblAlgn val="ctr"/>
        <c:lblOffset val="100"/>
        <c:noMultiLvlLbl val="0"/>
      </c:catAx>
      <c:valAx>
        <c:axId val="210627584"/>
        <c:scaling>
          <c:orientation val="minMax"/>
        </c:scaling>
        <c:delete val="1"/>
        <c:axPos val="t"/>
        <c:numFmt formatCode="###0.0%" sourceLinked="1"/>
        <c:majorTickMark val="out"/>
        <c:minorTickMark val="none"/>
        <c:tickLblPos val="none"/>
        <c:crossAx val="210626048"/>
        <c:crosses val="autoZero"/>
        <c:crossBetween val="between"/>
      </c:valAx>
    </c:plotArea>
    <c:plotVisOnly val="1"/>
    <c:dispBlanksAs val="gap"/>
    <c:showDLblsOverMax val="0"/>
  </c:chart>
  <c:txPr>
    <a:bodyPr/>
    <a:lstStyle/>
    <a:p>
      <a:pPr>
        <a:defRPr>
          <a:latin typeface="Garamond" pitchFamily="18" charset="0"/>
        </a:defRPr>
      </a:pPr>
      <a:endParaRPr lang="ru-RU"/>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sz="1400"/>
            </a:pPr>
            <a:r>
              <a:rPr lang="ru-RU" sz="1400"/>
              <a:t>Доля</a:t>
            </a:r>
            <a:r>
              <a:rPr lang="ru-RU" sz="1400" baseline="0"/>
              <a:t> работников, переведённых на удалённую (дистанционную) занятость</a:t>
            </a:r>
            <a:endParaRPr lang="ru-RU" sz="1400"/>
          </a:p>
        </c:rich>
      </c:tx>
      <c:overlay val="0"/>
    </c:title>
    <c:autoTitleDeleted val="0"/>
    <c:plotArea>
      <c:layout>
        <c:manualLayout>
          <c:layoutTarget val="inner"/>
          <c:xMode val="edge"/>
          <c:yMode val="edge"/>
          <c:x val="0"/>
          <c:y val="0.28220020884486213"/>
          <c:w val="1"/>
          <c:h val="0.53275346395654033"/>
        </c:manualLayout>
      </c:layout>
      <c:barChart>
        <c:barDir val="bar"/>
        <c:grouping val="percentStacked"/>
        <c:varyColors val="0"/>
        <c:ser>
          <c:idx val="0"/>
          <c:order val="0"/>
          <c:tx>
            <c:strRef>
              <c:f>Лист1!$B$1</c:f>
              <c:strCache>
                <c:ptCount val="1"/>
                <c:pt idx="0">
                  <c:v>до 10%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###0.0%</c:formatCode>
                <c:ptCount val="1"/>
                <c:pt idx="0">
                  <c:v>0.33200000000000007</c:v>
                </c:pt>
              </c:numCache>
            </c:numRef>
          </c:val>
          <c:extLst>
            <c:ext xmlns:c16="http://schemas.microsoft.com/office/drawing/2014/chart" uri="{C3380CC4-5D6E-409C-BE32-E72D297353CC}">
              <c16:uniqueId val="{00000000-1293-4126-8D1C-5490A4C69499}"/>
            </c:ext>
          </c:extLst>
        </c:ser>
        <c:ser>
          <c:idx val="1"/>
          <c:order val="1"/>
          <c:tx>
            <c:strRef>
              <c:f>Лист1!$C$1</c:f>
              <c:strCache>
                <c:ptCount val="1"/>
                <c:pt idx="0">
                  <c:v>от 10% до 50%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###0.0%</c:formatCode>
                <c:ptCount val="1"/>
                <c:pt idx="0">
                  <c:v>0.34100000000000008</c:v>
                </c:pt>
              </c:numCache>
            </c:numRef>
          </c:val>
          <c:extLst>
            <c:ext xmlns:c16="http://schemas.microsoft.com/office/drawing/2014/chart" uri="{C3380CC4-5D6E-409C-BE32-E72D297353CC}">
              <c16:uniqueId val="{00000001-1293-4126-8D1C-5490A4C69499}"/>
            </c:ext>
          </c:extLst>
        </c:ser>
        <c:ser>
          <c:idx val="2"/>
          <c:order val="2"/>
          <c:tx>
            <c:strRef>
              <c:f>Лист1!$D$1</c:f>
              <c:strCache>
                <c:ptCount val="1"/>
                <c:pt idx="0">
                  <c:v>от 50% до 90%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Лист1!$D$2</c:f>
              <c:numCache>
                <c:formatCode>###0.0%</c:formatCode>
                <c:ptCount val="1"/>
                <c:pt idx="0">
                  <c:v>0.21500000000000002</c:v>
                </c:pt>
              </c:numCache>
            </c:numRef>
          </c:val>
          <c:extLst>
            <c:ext xmlns:c16="http://schemas.microsoft.com/office/drawing/2014/chart" uri="{C3380CC4-5D6E-409C-BE32-E72D297353CC}">
              <c16:uniqueId val="{00000002-1293-4126-8D1C-5490A4C69499}"/>
            </c:ext>
          </c:extLst>
        </c:ser>
        <c:ser>
          <c:idx val="3"/>
          <c:order val="3"/>
          <c:tx>
            <c:strRef>
              <c:f>Лист1!$E$1</c:f>
              <c:strCache>
                <c:ptCount val="1"/>
                <c:pt idx="0">
                  <c:v>более 90%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Лист1!$E$2</c:f>
              <c:numCache>
                <c:formatCode>###0.0%</c:formatCode>
                <c:ptCount val="1"/>
                <c:pt idx="0">
                  <c:v>0.112</c:v>
                </c:pt>
              </c:numCache>
            </c:numRef>
          </c:val>
          <c:extLst>
            <c:ext xmlns:c16="http://schemas.microsoft.com/office/drawing/2014/chart" uri="{C3380CC4-5D6E-409C-BE32-E72D297353CC}">
              <c16:uniqueId val="{00000003-1293-4126-8D1C-5490A4C69499}"/>
            </c:ext>
          </c:extLst>
        </c:ser>
        <c:dLbls>
          <c:showLegendKey val="0"/>
          <c:showVal val="1"/>
          <c:showCatName val="0"/>
          <c:showSerName val="0"/>
          <c:showPercent val="0"/>
          <c:showBubbleSize val="0"/>
        </c:dLbls>
        <c:gapWidth val="95"/>
        <c:overlap val="100"/>
        <c:axId val="194385024"/>
        <c:axId val="194386560"/>
      </c:barChart>
      <c:catAx>
        <c:axId val="194385024"/>
        <c:scaling>
          <c:orientation val="minMax"/>
        </c:scaling>
        <c:delete val="1"/>
        <c:axPos val="l"/>
        <c:numFmt formatCode="General" sourceLinked="0"/>
        <c:majorTickMark val="none"/>
        <c:minorTickMark val="none"/>
        <c:tickLblPos val="none"/>
        <c:crossAx val="194386560"/>
        <c:crosses val="autoZero"/>
        <c:auto val="1"/>
        <c:lblAlgn val="ctr"/>
        <c:lblOffset val="100"/>
        <c:noMultiLvlLbl val="0"/>
      </c:catAx>
      <c:valAx>
        <c:axId val="194386560"/>
        <c:scaling>
          <c:orientation val="minMax"/>
        </c:scaling>
        <c:delete val="1"/>
        <c:axPos val="b"/>
        <c:numFmt formatCode="0%" sourceLinked="0"/>
        <c:majorTickMark val="out"/>
        <c:minorTickMark val="none"/>
        <c:tickLblPos val="none"/>
        <c:crossAx val="194385024"/>
        <c:crosses val="autoZero"/>
        <c:crossBetween val="between"/>
      </c:valAx>
    </c:plotArea>
    <c:legend>
      <c:legendPos val="t"/>
      <c:layout>
        <c:manualLayout>
          <c:xMode val="edge"/>
          <c:yMode val="edge"/>
          <c:x val="3.8898071625344352E-2"/>
          <c:y val="0.75060423898625572"/>
          <c:w val="0.95966924795557595"/>
          <c:h val="0.24939576101374425"/>
        </c:manualLayout>
      </c:layout>
      <c:overlay val="0"/>
      <c:txPr>
        <a:bodyPr/>
        <a:lstStyle/>
        <a:p>
          <a:pPr>
            <a:defRPr sz="1100"/>
          </a:pPr>
          <a:endParaRPr lang="ru-RU"/>
        </a:p>
      </c:txPr>
    </c:legend>
    <c:plotVisOnly val="1"/>
    <c:dispBlanksAs val="gap"/>
    <c:showDLblsOverMax val="0"/>
  </c:chart>
  <c:txPr>
    <a:bodyPr/>
    <a:lstStyle/>
    <a:p>
      <a:pPr>
        <a:defRPr>
          <a:latin typeface="Garamond" pitchFamily="18" charset="0"/>
        </a:defRPr>
      </a:pPr>
      <a:endParaRPr lang="ru-RU"/>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Организация</a:t>
            </a:r>
            <a:r>
              <a:rPr lang="ru-RU" sz="1200" baseline="0"/>
              <a:t> удалённого режима работы</a:t>
            </a:r>
            <a:endParaRPr lang="ru-RU" sz="1200"/>
          </a:p>
        </c:rich>
      </c:tx>
      <c:layout>
        <c:manualLayout>
          <c:xMode val="edge"/>
          <c:yMode val="edge"/>
          <c:x val="0.17611584854535428"/>
          <c:y val="1.7260758413260614E-2"/>
        </c:manualLayout>
      </c:layout>
      <c:overlay val="0"/>
    </c:title>
    <c:autoTitleDeleted val="0"/>
    <c:plotArea>
      <c:layout>
        <c:manualLayout>
          <c:layoutTarget val="inner"/>
          <c:xMode val="edge"/>
          <c:yMode val="edge"/>
          <c:x val="0.16324153775021705"/>
          <c:y val="0.32201643713482292"/>
          <c:w val="0.63428300554590444"/>
          <c:h val="0.50229350628522651"/>
        </c:manualLayout>
      </c:layout>
      <c:pieChart>
        <c:varyColors val="1"/>
        <c:ser>
          <c:idx val="0"/>
          <c:order val="0"/>
          <c:tx>
            <c:strRef>
              <c:f>Лист1!$B$1</c:f>
              <c:strCache>
                <c:ptCount val="1"/>
                <c:pt idx="0">
                  <c:v>Столбец1</c:v>
                </c:pt>
              </c:strCache>
            </c:strRef>
          </c:tx>
          <c:explosion val="2"/>
          <c:dPt>
            <c:idx val="0"/>
            <c:bubble3D val="0"/>
            <c:explosion val="4"/>
            <c:extLst>
              <c:ext xmlns:c16="http://schemas.microsoft.com/office/drawing/2014/chart" uri="{C3380CC4-5D6E-409C-BE32-E72D297353CC}">
                <c16:uniqueId val="{00000001-505F-40F8-8BD3-55C67A265E50}"/>
              </c:ext>
            </c:extLst>
          </c:dPt>
          <c:dPt>
            <c:idx val="1"/>
            <c:bubble3D val="0"/>
            <c:explosion val="34"/>
            <c:extLst>
              <c:ext xmlns:c16="http://schemas.microsoft.com/office/drawing/2014/chart" uri="{C3380CC4-5D6E-409C-BE32-E72D297353CC}">
                <c16:uniqueId val="{00000003-505F-40F8-8BD3-55C67A265E50}"/>
              </c:ext>
            </c:extLst>
          </c:dPt>
          <c:dPt>
            <c:idx val="2"/>
            <c:bubble3D val="0"/>
            <c:explosion val="16"/>
            <c:extLst>
              <c:ext xmlns:c16="http://schemas.microsoft.com/office/drawing/2014/chart" uri="{C3380CC4-5D6E-409C-BE32-E72D297353CC}">
                <c16:uniqueId val="{00000005-505F-40F8-8BD3-55C67A265E50}"/>
              </c:ext>
            </c:extLst>
          </c:dPt>
          <c:dPt>
            <c:idx val="3"/>
            <c:bubble3D val="0"/>
            <c:explosion val="4"/>
            <c:extLst>
              <c:ext xmlns:c16="http://schemas.microsoft.com/office/drawing/2014/chart" uri="{C3380CC4-5D6E-409C-BE32-E72D297353CC}">
                <c16:uniqueId val="{00000007-505F-40F8-8BD3-55C67A265E50}"/>
              </c:ext>
            </c:extLst>
          </c:dPt>
          <c:dPt>
            <c:idx val="4"/>
            <c:bubble3D val="0"/>
            <c:explosion val="5"/>
            <c:extLst>
              <c:ext xmlns:c16="http://schemas.microsoft.com/office/drawing/2014/chart" uri="{C3380CC4-5D6E-409C-BE32-E72D297353CC}">
                <c16:uniqueId val="{00000009-505F-40F8-8BD3-55C67A265E50}"/>
              </c:ext>
            </c:extLst>
          </c:dPt>
          <c:dPt>
            <c:idx val="5"/>
            <c:bubble3D val="0"/>
            <c:explosion val="12"/>
            <c:extLst>
              <c:ext xmlns:c16="http://schemas.microsoft.com/office/drawing/2014/chart" uri="{C3380CC4-5D6E-409C-BE32-E72D297353CC}">
                <c16:uniqueId val="{0000000B-505F-40F8-8BD3-55C67A265E50}"/>
              </c:ext>
            </c:extLst>
          </c:dPt>
          <c:dPt>
            <c:idx val="6"/>
            <c:bubble3D val="0"/>
            <c:explosion val="9"/>
            <c:extLst>
              <c:ext xmlns:c16="http://schemas.microsoft.com/office/drawing/2014/chart" uri="{C3380CC4-5D6E-409C-BE32-E72D297353CC}">
                <c16:uniqueId val="{0000000D-505F-40F8-8BD3-55C67A265E50}"/>
              </c:ext>
            </c:extLst>
          </c:dPt>
          <c:dLbls>
            <c:dLbl>
              <c:idx val="0"/>
              <c:layout>
                <c:manualLayout>
                  <c:x val="0.19010280707138005"/>
                  <c:y val="-4.030183222270998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05F-40F8-8BD3-55C67A265E50}"/>
                </c:ext>
              </c:extLst>
            </c:dLbl>
            <c:dLbl>
              <c:idx val="1"/>
              <c:layout>
                <c:manualLayout>
                  <c:x val="-9.5792911251454962E-2"/>
                  <c:y val="0.1656755548246537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05F-40F8-8BD3-55C67A265E50}"/>
                </c:ext>
              </c:extLst>
            </c:dLbl>
            <c:numFmt formatCode="0.0%" sourceLinked="0"/>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Лист1!$A$2:$A$3</c:f>
              <c:strCache>
                <c:ptCount val="2"/>
                <c:pt idx="0">
                  <c:v>Перевели всех, кого планировали</c:v>
                </c:pt>
                <c:pt idx="1">
                  <c:v>Нет, смогли перевести лишь часть</c:v>
                </c:pt>
              </c:strCache>
            </c:strRef>
          </c:cat>
          <c:val>
            <c:numRef>
              <c:f>Лист1!$B$2:$B$3</c:f>
              <c:numCache>
                <c:formatCode>0.00%</c:formatCode>
                <c:ptCount val="2"/>
                <c:pt idx="0">
                  <c:v>0.89200000000000002</c:v>
                </c:pt>
                <c:pt idx="1">
                  <c:v>0.10800000000000001</c:v>
                </c:pt>
              </c:numCache>
            </c:numRef>
          </c:val>
          <c:extLst>
            <c:ext xmlns:c16="http://schemas.microsoft.com/office/drawing/2014/chart" uri="{C3380CC4-5D6E-409C-BE32-E72D297353CC}">
              <c16:uniqueId val="{0000000E-505F-40F8-8BD3-55C67A265E50}"/>
            </c:ext>
          </c:extLst>
        </c:ser>
        <c:dLbls>
          <c:showLegendKey val="0"/>
          <c:showVal val="0"/>
          <c:showCatName val="0"/>
          <c:showSerName val="0"/>
          <c:showPercent val="1"/>
          <c:showBubbleSize val="0"/>
          <c:showLeaderLines val="0"/>
        </c:dLbls>
        <c:firstSliceAng val="0"/>
      </c:pieChart>
    </c:plotArea>
    <c:plotVisOnly val="1"/>
    <c:dispBlanksAs val="zero"/>
    <c:showDLblsOverMax val="0"/>
  </c:chart>
  <c:txPr>
    <a:bodyPr/>
    <a:lstStyle/>
    <a:p>
      <a:pPr>
        <a:defRPr>
          <a:latin typeface="Garamond" pitchFamily="18" charset="0"/>
        </a:defRPr>
      </a:pPr>
      <a:endParaRPr lang="ru-RU"/>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Потребность в удалённом</a:t>
            </a:r>
            <a:r>
              <a:rPr lang="ru-RU" sz="1200" baseline="0"/>
              <a:t> режиме работы</a:t>
            </a:r>
            <a:endParaRPr lang="ru-RU" sz="1200"/>
          </a:p>
        </c:rich>
      </c:tx>
      <c:overlay val="0"/>
    </c:title>
    <c:autoTitleDeleted val="0"/>
    <c:plotArea>
      <c:layout>
        <c:manualLayout>
          <c:layoutTarget val="inner"/>
          <c:xMode val="edge"/>
          <c:yMode val="edge"/>
          <c:x val="0.1937565410746018"/>
          <c:y val="0.29343739112256989"/>
          <c:w val="0.55532375284772562"/>
          <c:h val="0.4963513189169938"/>
        </c:manualLayout>
      </c:layout>
      <c:pieChart>
        <c:varyColors val="1"/>
        <c:ser>
          <c:idx val="0"/>
          <c:order val="0"/>
          <c:tx>
            <c:strRef>
              <c:f>Лист1!$B$1</c:f>
              <c:strCache>
                <c:ptCount val="1"/>
                <c:pt idx="0">
                  <c:v>Столбец1</c:v>
                </c:pt>
              </c:strCache>
            </c:strRef>
          </c:tx>
          <c:explosion val="2"/>
          <c:dPt>
            <c:idx val="0"/>
            <c:bubble3D val="0"/>
            <c:explosion val="4"/>
            <c:extLst>
              <c:ext xmlns:c16="http://schemas.microsoft.com/office/drawing/2014/chart" uri="{C3380CC4-5D6E-409C-BE32-E72D297353CC}">
                <c16:uniqueId val="{00000001-6139-426A-8797-CAC92C69FD3D}"/>
              </c:ext>
            </c:extLst>
          </c:dPt>
          <c:dPt>
            <c:idx val="1"/>
            <c:bubble3D val="0"/>
            <c:explosion val="5"/>
            <c:extLst>
              <c:ext xmlns:c16="http://schemas.microsoft.com/office/drawing/2014/chart" uri="{C3380CC4-5D6E-409C-BE32-E72D297353CC}">
                <c16:uniqueId val="{00000003-6139-426A-8797-CAC92C69FD3D}"/>
              </c:ext>
            </c:extLst>
          </c:dPt>
          <c:dPt>
            <c:idx val="2"/>
            <c:bubble3D val="0"/>
            <c:explosion val="16"/>
            <c:extLst>
              <c:ext xmlns:c16="http://schemas.microsoft.com/office/drawing/2014/chart" uri="{C3380CC4-5D6E-409C-BE32-E72D297353CC}">
                <c16:uniqueId val="{00000005-6139-426A-8797-CAC92C69FD3D}"/>
              </c:ext>
            </c:extLst>
          </c:dPt>
          <c:dPt>
            <c:idx val="3"/>
            <c:bubble3D val="0"/>
            <c:explosion val="4"/>
            <c:extLst>
              <c:ext xmlns:c16="http://schemas.microsoft.com/office/drawing/2014/chart" uri="{C3380CC4-5D6E-409C-BE32-E72D297353CC}">
                <c16:uniqueId val="{00000007-6139-426A-8797-CAC92C69FD3D}"/>
              </c:ext>
            </c:extLst>
          </c:dPt>
          <c:dPt>
            <c:idx val="4"/>
            <c:bubble3D val="0"/>
            <c:explosion val="5"/>
            <c:extLst>
              <c:ext xmlns:c16="http://schemas.microsoft.com/office/drawing/2014/chart" uri="{C3380CC4-5D6E-409C-BE32-E72D297353CC}">
                <c16:uniqueId val="{00000009-6139-426A-8797-CAC92C69FD3D}"/>
              </c:ext>
            </c:extLst>
          </c:dPt>
          <c:dPt>
            <c:idx val="5"/>
            <c:bubble3D val="0"/>
            <c:explosion val="12"/>
            <c:extLst>
              <c:ext xmlns:c16="http://schemas.microsoft.com/office/drawing/2014/chart" uri="{C3380CC4-5D6E-409C-BE32-E72D297353CC}">
                <c16:uniqueId val="{0000000B-6139-426A-8797-CAC92C69FD3D}"/>
              </c:ext>
            </c:extLst>
          </c:dPt>
          <c:dPt>
            <c:idx val="6"/>
            <c:bubble3D val="0"/>
            <c:explosion val="9"/>
            <c:extLst>
              <c:ext xmlns:c16="http://schemas.microsoft.com/office/drawing/2014/chart" uri="{C3380CC4-5D6E-409C-BE32-E72D297353CC}">
                <c16:uniqueId val="{0000000D-6139-426A-8797-CAC92C69FD3D}"/>
              </c:ext>
            </c:extLst>
          </c:dPt>
          <c:dLbls>
            <c:dLbl>
              <c:idx val="0"/>
              <c:layout>
                <c:manualLayout>
                  <c:x val="-3.8568698746207504E-2"/>
                  <c:y val="-0.1644208200083449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139-426A-8797-CAC92C69FD3D}"/>
                </c:ext>
              </c:extLst>
            </c:dLbl>
            <c:dLbl>
              <c:idx val="1"/>
              <c:layout>
                <c:manualLayout>
                  <c:x val="7.903385861015659E-2"/>
                  <c:y val="0.1995702478889548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139-426A-8797-CAC92C69FD3D}"/>
                </c:ext>
              </c:extLst>
            </c:dLbl>
            <c:numFmt formatCode="0.0%" sourceLinked="0"/>
            <c:spPr>
              <a:noFill/>
              <a:ln>
                <a:noFill/>
              </a:ln>
              <a:effectLst/>
            </c:spPr>
            <c:txPr>
              <a:bodyPr/>
              <a:lstStyle/>
              <a:p>
                <a:pPr>
                  <a:defRPr sz="1000"/>
                </a:pPr>
                <a:endParaRPr lang="ru-RU"/>
              </a:p>
            </c:txPr>
            <c:showLegendKey val="0"/>
            <c:showVal val="0"/>
            <c:showCatName val="1"/>
            <c:showSerName val="0"/>
            <c:showPercent val="1"/>
            <c:showBubbleSize val="0"/>
            <c:showLeaderLines val="0"/>
            <c:extLst>
              <c:ext xmlns:c15="http://schemas.microsoft.com/office/drawing/2012/chart" uri="{CE6537A1-D6FC-4f65-9D91-7224C49458BB}"/>
            </c:extLst>
          </c:dLbls>
          <c:cat>
            <c:strRef>
              <c:f>Лист1!$A$2:$A$3</c:f>
              <c:strCache>
                <c:ptCount val="2"/>
                <c:pt idx="0">
                  <c:v>Сохранится в будущем</c:v>
                </c:pt>
                <c:pt idx="1">
                  <c:v>Не сохранится</c:v>
                </c:pt>
              </c:strCache>
            </c:strRef>
          </c:cat>
          <c:val>
            <c:numRef>
              <c:f>Лист1!$B$2:$B$3</c:f>
              <c:numCache>
                <c:formatCode>0.00%</c:formatCode>
                <c:ptCount val="2"/>
                <c:pt idx="0">
                  <c:v>0.4250000000000001</c:v>
                </c:pt>
                <c:pt idx="1">
                  <c:v>0.57500000000000007</c:v>
                </c:pt>
              </c:numCache>
            </c:numRef>
          </c:val>
          <c:extLst>
            <c:ext xmlns:c16="http://schemas.microsoft.com/office/drawing/2014/chart" uri="{C3380CC4-5D6E-409C-BE32-E72D297353CC}">
              <c16:uniqueId val="{0000000E-6139-426A-8797-CAC92C69FD3D}"/>
            </c:ext>
          </c:extLst>
        </c:ser>
        <c:dLbls>
          <c:showLegendKey val="0"/>
          <c:showVal val="0"/>
          <c:showCatName val="0"/>
          <c:showSerName val="0"/>
          <c:showPercent val="1"/>
          <c:showBubbleSize val="0"/>
          <c:showLeaderLines val="0"/>
        </c:dLbls>
        <c:firstSliceAng val="0"/>
      </c:pieChart>
    </c:plotArea>
    <c:plotVisOnly val="1"/>
    <c:dispBlanksAs val="zero"/>
    <c:showDLblsOverMax val="0"/>
  </c:chart>
  <c:txPr>
    <a:bodyPr/>
    <a:lstStyle/>
    <a:p>
      <a:pPr>
        <a:defRPr>
          <a:latin typeface="Garamond" pitchFamily="18" charset="0"/>
        </a:defRPr>
      </a:pPr>
      <a:endParaRPr lang="ru-RU"/>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sz="1200"/>
            </a:pPr>
            <a:r>
              <a:rPr lang="ru-RU" sz="1200" b="1" i="0" baseline="0"/>
              <a:t>Проблемы, с которыми столкнулись компании при переводе сотрудников на удалённую занятость</a:t>
            </a:r>
          </a:p>
        </c:rich>
      </c:tx>
      <c:layout>
        <c:manualLayout>
          <c:xMode val="edge"/>
          <c:yMode val="edge"/>
          <c:x val="0.15704477036217168"/>
          <c:y val="0"/>
        </c:manualLayout>
      </c:layout>
      <c:overlay val="0"/>
    </c:title>
    <c:autoTitleDeleted val="0"/>
    <c:plotArea>
      <c:layout>
        <c:manualLayout>
          <c:layoutTarget val="inner"/>
          <c:xMode val="edge"/>
          <c:yMode val="edge"/>
          <c:x val="0.49095999023638881"/>
          <c:y val="0.20274611859958186"/>
          <c:w val="0.48561070967144693"/>
          <c:h val="0.75769740646825945"/>
        </c:manualLayout>
      </c:layout>
      <c:barChart>
        <c:barDir val="bar"/>
        <c:grouping val="stacked"/>
        <c:varyColors val="0"/>
        <c:ser>
          <c:idx val="0"/>
          <c:order val="0"/>
          <c:tx>
            <c:strRef>
              <c:f>Лист1!$B$1</c:f>
              <c:strCache>
                <c:ptCount val="1"/>
                <c:pt idx="0">
                  <c:v>Столбец1</c:v>
                </c:pt>
              </c:strCache>
            </c:strRef>
          </c:tx>
          <c:invertIfNegative val="0"/>
          <c:dLbls>
            <c:dLbl>
              <c:idx val="4"/>
              <c:layout>
                <c:manualLayout>
                  <c:x val="3.634420096205238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A51-445C-AA8A-7CCA7E30245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Отсутствие техвозможностей обеспечить работу с той же эффективностью, что в офисе</c:v>
                </c:pt>
                <c:pt idx="1">
                  <c:v>Сложность обеспечить информационной безопасности</c:v>
                </c:pt>
                <c:pt idx="2">
                  <c:v>Отсутствие у работников готовности перейти на онлайн-режим</c:v>
                </c:pt>
                <c:pt idx="3">
                  <c:v>Правовые проблемы </c:v>
                </c:pt>
                <c:pt idx="4">
                  <c:v>Другое</c:v>
                </c:pt>
              </c:strCache>
            </c:strRef>
          </c:cat>
          <c:val>
            <c:numRef>
              <c:f>Лист1!$B$2:$B$6</c:f>
              <c:numCache>
                <c:formatCode>###0.0%</c:formatCode>
                <c:ptCount val="5"/>
                <c:pt idx="0">
                  <c:v>0.6130000000000001</c:v>
                </c:pt>
                <c:pt idx="1">
                  <c:v>0.43800000000000006</c:v>
                </c:pt>
                <c:pt idx="2">
                  <c:v>0.27</c:v>
                </c:pt>
                <c:pt idx="3">
                  <c:v>0.26300000000000001</c:v>
                </c:pt>
                <c:pt idx="4">
                  <c:v>2.9000000000000001E-2</c:v>
                </c:pt>
              </c:numCache>
            </c:numRef>
          </c:val>
          <c:extLst>
            <c:ext xmlns:c16="http://schemas.microsoft.com/office/drawing/2014/chart" uri="{C3380CC4-5D6E-409C-BE32-E72D297353CC}">
              <c16:uniqueId val="{00000001-FA51-445C-AA8A-7CCA7E302456}"/>
            </c:ext>
          </c:extLst>
        </c:ser>
        <c:dLbls>
          <c:showLegendKey val="0"/>
          <c:showVal val="0"/>
          <c:showCatName val="0"/>
          <c:showSerName val="0"/>
          <c:showPercent val="0"/>
          <c:showBubbleSize val="0"/>
        </c:dLbls>
        <c:gapWidth val="75"/>
        <c:overlap val="100"/>
        <c:axId val="194828160"/>
        <c:axId val="194829696"/>
      </c:barChart>
      <c:catAx>
        <c:axId val="194828160"/>
        <c:scaling>
          <c:orientation val="maxMin"/>
        </c:scaling>
        <c:delete val="0"/>
        <c:axPos val="l"/>
        <c:numFmt formatCode="General" sourceLinked="0"/>
        <c:majorTickMark val="none"/>
        <c:minorTickMark val="none"/>
        <c:tickLblPos val="nextTo"/>
        <c:crossAx val="194829696"/>
        <c:crosses val="autoZero"/>
        <c:auto val="1"/>
        <c:lblAlgn val="ctr"/>
        <c:lblOffset val="100"/>
        <c:noMultiLvlLbl val="0"/>
      </c:catAx>
      <c:valAx>
        <c:axId val="194829696"/>
        <c:scaling>
          <c:orientation val="minMax"/>
        </c:scaling>
        <c:delete val="0"/>
        <c:axPos val="t"/>
        <c:numFmt formatCode="###0.0%" sourceLinked="1"/>
        <c:majorTickMark val="none"/>
        <c:minorTickMark val="none"/>
        <c:tickLblPos val="none"/>
        <c:crossAx val="194828160"/>
        <c:crosses val="autoZero"/>
        <c:crossBetween val="between"/>
      </c:valAx>
    </c:plotArea>
    <c:plotVisOnly val="1"/>
    <c:dispBlanksAs val="gap"/>
    <c:showDLblsOverMax val="0"/>
  </c:chart>
  <c:txPr>
    <a:bodyPr/>
    <a:lstStyle/>
    <a:p>
      <a:pPr>
        <a:defRPr>
          <a:latin typeface="Garamond" pitchFamily="18" charset="0"/>
        </a:defRPr>
      </a:pPr>
      <a:endParaRPr lang="ru-RU"/>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474810440361696E-2"/>
          <c:y val="9.7184591982820326E-2"/>
          <c:w val="0.94905048633626676"/>
          <c:h val="0.6583263242662849"/>
        </c:manualLayout>
      </c:layout>
      <c:barChart>
        <c:barDir val="col"/>
        <c:grouping val="clustered"/>
        <c:varyColors val="0"/>
        <c:ser>
          <c:idx val="0"/>
          <c:order val="0"/>
          <c:tx>
            <c:strRef>
              <c:f>Лист1!$B$1</c:f>
              <c:strCache>
                <c:ptCount val="1"/>
                <c:pt idx="0">
                  <c:v>за 2019 год</c:v>
                </c:pt>
              </c:strCache>
            </c:strRef>
          </c:tx>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Вырос</c:v>
                </c:pt>
                <c:pt idx="1">
                  <c:v>Не изменился</c:v>
                </c:pt>
                <c:pt idx="2">
                  <c:v>Снизился</c:v>
                </c:pt>
              </c:strCache>
            </c:strRef>
          </c:cat>
          <c:val>
            <c:numRef>
              <c:f>Лист1!$B$2:$B$4</c:f>
              <c:numCache>
                <c:formatCode>General</c:formatCode>
                <c:ptCount val="3"/>
                <c:pt idx="0">
                  <c:v>51.9</c:v>
                </c:pt>
                <c:pt idx="1">
                  <c:v>36.799999999999997</c:v>
                </c:pt>
                <c:pt idx="2">
                  <c:v>11.3</c:v>
                </c:pt>
              </c:numCache>
            </c:numRef>
          </c:val>
          <c:extLst>
            <c:ext xmlns:c16="http://schemas.microsoft.com/office/drawing/2014/chart" uri="{C3380CC4-5D6E-409C-BE32-E72D297353CC}">
              <c16:uniqueId val="{00000000-4A40-4BAE-8DCB-4D63C1A09300}"/>
            </c:ext>
          </c:extLst>
        </c:ser>
        <c:ser>
          <c:idx val="1"/>
          <c:order val="1"/>
          <c:tx>
            <c:strRef>
              <c:f>Лист1!$C$1</c:f>
              <c:strCache>
                <c:ptCount val="1"/>
                <c:pt idx="0">
                  <c:v>за 2018 год</c:v>
                </c:pt>
              </c:strCache>
            </c:strRef>
          </c:tx>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Вырос</c:v>
                </c:pt>
                <c:pt idx="1">
                  <c:v>Не изменился</c:v>
                </c:pt>
                <c:pt idx="2">
                  <c:v>Снизился</c:v>
                </c:pt>
              </c:strCache>
            </c:strRef>
          </c:cat>
          <c:val>
            <c:numRef>
              <c:f>Лист1!$C$2:$C$4</c:f>
              <c:numCache>
                <c:formatCode>General</c:formatCode>
                <c:ptCount val="3"/>
                <c:pt idx="0">
                  <c:v>43.2</c:v>
                </c:pt>
                <c:pt idx="1">
                  <c:v>45.3</c:v>
                </c:pt>
                <c:pt idx="2">
                  <c:v>11.5</c:v>
                </c:pt>
              </c:numCache>
            </c:numRef>
          </c:val>
          <c:extLst>
            <c:ext xmlns:c16="http://schemas.microsoft.com/office/drawing/2014/chart" uri="{C3380CC4-5D6E-409C-BE32-E72D297353CC}">
              <c16:uniqueId val="{00000001-4A40-4BAE-8DCB-4D63C1A09300}"/>
            </c:ext>
          </c:extLst>
        </c:ser>
        <c:dLbls>
          <c:showLegendKey val="0"/>
          <c:showVal val="1"/>
          <c:showCatName val="0"/>
          <c:showSerName val="0"/>
          <c:showPercent val="0"/>
          <c:showBubbleSize val="0"/>
        </c:dLbls>
        <c:gapWidth val="75"/>
        <c:axId val="305269760"/>
        <c:axId val="305279744"/>
      </c:barChart>
      <c:catAx>
        <c:axId val="305269760"/>
        <c:scaling>
          <c:orientation val="minMax"/>
        </c:scaling>
        <c:delete val="0"/>
        <c:axPos val="b"/>
        <c:numFmt formatCode="General" sourceLinked="0"/>
        <c:majorTickMark val="none"/>
        <c:minorTickMark val="none"/>
        <c:tickLblPos val="nextTo"/>
        <c:crossAx val="305279744"/>
        <c:crosses val="autoZero"/>
        <c:auto val="1"/>
        <c:lblAlgn val="ctr"/>
        <c:lblOffset val="100"/>
        <c:noMultiLvlLbl val="0"/>
      </c:catAx>
      <c:valAx>
        <c:axId val="305279744"/>
        <c:scaling>
          <c:orientation val="minMax"/>
        </c:scaling>
        <c:delete val="1"/>
        <c:axPos val="l"/>
        <c:numFmt formatCode="General" sourceLinked="1"/>
        <c:majorTickMark val="out"/>
        <c:minorTickMark val="none"/>
        <c:tickLblPos val="none"/>
        <c:crossAx val="305269760"/>
        <c:crosses val="autoZero"/>
        <c:crossBetween val="between"/>
      </c:valAx>
    </c:plotArea>
    <c:legend>
      <c:legendPos val="t"/>
      <c:layout>
        <c:manualLayout>
          <c:xMode val="edge"/>
          <c:yMode val="edge"/>
          <c:x val="0.66945957276173806"/>
          <c:y val="6.014405869720834E-2"/>
          <c:w val="0.33054034931599274"/>
          <c:h val="9.737159985683605E-2"/>
        </c:manualLayout>
      </c:layout>
      <c:overlay val="0"/>
    </c:legend>
    <c:plotVisOnly val="1"/>
    <c:dispBlanksAs val="gap"/>
    <c:showDLblsOverMax val="0"/>
  </c:chart>
  <c:spPr>
    <a:ln>
      <a:solidFill>
        <a:schemeClr val="bg1">
          <a:lumMod val="75000"/>
        </a:schemeClr>
      </a:solidFill>
    </a:ln>
  </c:spPr>
  <c:txPr>
    <a:bodyPr/>
    <a:lstStyle/>
    <a:p>
      <a:pPr>
        <a:defRPr>
          <a:latin typeface="Garamond" panose="02020404030301010803" pitchFamily="18" charset="0"/>
        </a:defRPr>
      </a:pPr>
      <a:endParaRPr lang="ru-RU"/>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087999416739616E-2"/>
          <c:y val="4.3279543166638935E-2"/>
          <c:w val="0.97691200058326044"/>
          <c:h val="0.73921983889944809"/>
        </c:manualLayout>
      </c:layout>
      <c:barChart>
        <c:barDir val="col"/>
        <c:grouping val="clustered"/>
        <c:varyColors val="0"/>
        <c:ser>
          <c:idx val="0"/>
          <c:order val="0"/>
          <c:tx>
            <c:strRef>
              <c:f>Лист1!$B$1</c:f>
              <c:strCache>
                <c:ptCount val="1"/>
                <c:pt idx="0">
                  <c:v>2018</c:v>
                </c:pt>
              </c:strCache>
            </c:strRef>
          </c:tx>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до 5%</c:v>
                </c:pt>
                <c:pt idx="1">
                  <c:v>5,1-10%</c:v>
                </c:pt>
                <c:pt idx="2">
                  <c:v>10,1-17,5%</c:v>
                </c:pt>
                <c:pt idx="3">
                  <c:v>17,6-25%</c:v>
                </c:pt>
                <c:pt idx="4">
                  <c:v>25,1-50%</c:v>
                </c:pt>
                <c:pt idx="5">
                  <c:v>более 50,1%</c:v>
                </c:pt>
              </c:strCache>
            </c:strRef>
          </c:cat>
          <c:val>
            <c:numRef>
              <c:f>Лист1!$B$2:$B$7</c:f>
              <c:numCache>
                <c:formatCode>General</c:formatCode>
                <c:ptCount val="6"/>
                <c:pt idx="0">
                  <c:v>5.0999999999999996</c:v>
                </c:pt>
                <c:pt idx="1">
                  <c:v>13.9</c:v>
                </c:pt>
                <c:pt idx="2">
                  <c:v>15.2</c:v>
                </c:pt>
                <c:pt idx="3">
                  <c:v>20.9</c:v>
                </c:pt>
                <c:pt idx="4">
                  <c:v>34.799999999999997</c:v>
                </c:pt>
                <c:pt idx="5" formatCode="0">
                  <c:v>10.1</c:v>
                </c:pt>
              </c:numCache>
            </c:numRef>
          </c:val>
          <c:extLst>
            <c:ext xmlns:c16="http://schemas.microsoft.com/office/drawing/2014/chart" uri="{C3380CC4-5D6E-409C-BE32-E72D297353CC}">
              <c16:uniqueId val="{00000000-A3DF-40CD-A010-4AD46BD2A9D6}"/>
            </c:ext>
          </c:extLst>
        </c:ser>
        <c:ser>
          <c:idx val="1"/>
          <c:order val="1"/>
          <c:tx>
            <c:strRef>
              <c:f>Лист1!$C$1</c:f>
              <c:strCache>
                <c:ptCount val="1"/>
                <c:pt idx="0">
                  <c:v>2019</c:v>
                </c:pt>
              </c:strCache>
            </c:strRef>
          </c:tx>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до 5%</c:v>
                </c:pt>
                <c:pt idx="1">
                  <c:v>5,1-10%</c:v>
                </c:pt>
                <c:pt idx="2">
                  <c:v>10,1-17,5%</c:v>
                </c:pt>
                <c:pt idx="3">
                  <c:v>17,6-25%</c:v>
                </c:pt>
                <c:pt idx="4">
                  <c:v>25,1-50%</c:v>
                </c:pt>
                <c:pt idx="5">
                  <c:v>более 50,1%</c:v>
                </c:pt>
              </c:strCache>
            </c:strRef>
          </c:cat>
          <c:val>
            <c:numRef>
              <c:f>Лист1!$C$2:$C$7</c:f>
              <c:numCache>
                <c:formatCode>General</c:formatCode>
                <c:ptCount val="6"/>
                <c:pt idx="0">
                  <c:v>4</c:v>
                </c:pt>
                <c:pt idx="1">
                  <c:v>13.3</c:v>
                </c:pt>
                <c:pt idx="2">
                  <c:v>18.600000000000001</c:v>
                </c:pt>
                <c:pt idx="3">
                  <c:v>18.600000000000001</c:v>
                </c:pt>
                <c:pt idx="4">
                  <c:v>35.4</c:v>
                </c:pt>
                <c:pt idx="5" formatCode="0">
                  <c:v>10.199999999999999</c:v>
                </c:pt>
              </c:numCache>
            </c:numRef>
          </c:val>
          <c:extLst>
            <c:ext xmlns:c16="http://schemas.microsoft.com/office/drawing/2014/chart" uri="{C3380CC4-5D6E-409C-BE32-E72D297353CC}">
              <c16:uniqueId val="{00000001-A3DF-40CD-A010-4AD46BD2A9D6}"/>
            </c:ext>
          </c:extLst>
        </c:ser>
        <c:dLbls>
          <c:showLegendKey val="0"/>
          <c:showVal val="1"/>
          <c:showCatName val="0"/>
          <c:showSerName val="0"/>
          <c:showPercent val="0"/>
          <c:showBubbleSize val="0"/>
        </c:dLbls>
        <c:gapWidth val="90"/>
        <c:axId val="305334912"/>
        <c:axId val="305344896"/>
      </c:barChart>
      <c:catAx>
        <c:axId val="305334912"/>
        <c:scaling>
          <c:orientation val="minMax"/>
        </c:scaling>
        <c:delete val="0"/>
        <c:axPos val="b"/>
        <c:numFmt formatCode="General" sourceLinked="1"/>
        <c:majorTickMark val="none"/>
        <c:minorTickMark val="none"/>
        <c:tickLblPos val="nextTo"/>
        <c:txPr>
          <a:bodyPr rot="0" vert="horz"/>
          <a:lstStyle/>
          <a:p>
            <a:pPr>
              <a:defRPr/>
            </a:pPr>
            <a:endParaRPr lang="ru-RU"/>
          </a:p>
        </c:txPr>
        <c:crossAx val="305344896"/>
        <c:crosses val="autoZero"/>
        <c:auto val="1"/>
        <c:lblAlgn val="ctr"/>
        <c:lblOffset val="100"/>
        <c:noMultiLvlLbl val="0"/>
      </c:catAx>
      <c:valAx>
        <c:axId val="305344896"/>
        <c:scaling>
          <c:orientation val="minMax"/>
        </c:scaling>
        <c:delete val="1"/>
        <c:axPos val="l"/>
        <c:numFmt formatCode="General" sourceLinked="1"/>
        <c:majorTickMark val="out"/>
        <c:minorTickMark val="none"/>
        <c:tickLblPos val="none"/>
        <c:crossAx val="305334912"/>
        <c:crosses val="autoZero"/>
        <c:crossBetween val="between"/>
      </c:valAx>
    </c:plotArea>
    <c:legend>
      <c:legendPos val="t"/>
      <c:layout>
        <c:manualLayout>
          <c:xMode val="edge"/>
          <c:yMode val="edge"/>
          <c:x val="1.8996609798775155E-2"/>
          <c:y val="8.1199102985690011E-2"/>
          <c:w val="0.40118000874890641"/>
          <c:h val="9.7233484112358159E-2"/>
        </c:manualLayout>
      </c:layout>
      <c:overlay val="0"/>
    </c:legend>
    <c:plotVisOnly val="1"/>
    <c:dispBlanksAs val="gap"/>
    <c:showDLblsOverMax val="0"/>
  </c:chart>
  <c:spPr>
    <a:ln>
      <a:solidFill>
        <a:schemeClr val="bg1">
          <a:lumMod val="75000"/>
        </a:schemeClr>
      </a:solidFill>
    </a:ln>
  </c:spPr>
  <c:txPr>
    <a:bodyPr/>
    <a:lstStyle/>
    <a:p>
      <a:pPr>
        <a:defRPr>
          <a:latin typeface="Garamond" panose="02020404030301010803" pitchFamily="18" charset="0"/>
        </a:defRPr>
      </a:pPr>
      <a:endParaRPr lang="ru-RU"/>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t>Доля компаний, не знакомых с содержанием фискальных мер поддержки</a:t>
            </a:r>
          </a:p>
        </c:rich>
      </c:tx>
      <c:layout>
        <c:manualLayout>
          <c:xMode val="edge"/>
          <c:yMode val="edge"/>
          <c:x val="0.17916527545909849"/>
          <c:y val="0"/>
        </c:manualLayout>
      </c:layout>
      <c:overlay val="0"/>
    </c:title>
    <c:autoTitleDeleted val="0"/>
    <c:plotArea>
      <c:layout>
        <c:manualLayout>
          <c:layoutTarget val="inner"/>
          <c:xMode val="edge"/>
          <c:yMode val="edge"/>
          <c:x val="0.48306872622619346"/>
          <c:y val="9.4724190726159604E-2"/>
          <c:w val="0.49944494643087695"/>
          <c:h val="0.89115923009623799"/>
        </c:manualLayout>
      </c:layout>
      <c:barChart>
        <c:barDir val="bar"/>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Учёт расходов на мед.изделия согласно перечню</c:v>
                </c:pt>
                <c:pt idx="1">
                  <c:v>Учёт расходов на дезинсекцию, приобретение приборов, спецодежды</c:v>
                </c:pt>
                <c:pt idx="2">
                  <c:v>Уплата авансовых платежей по налогу на прибыль, исходя из фактической прибыли</c:v>
                </c:pt>
                <c:pt idx="3">
                  <c:v>Отсрочка по налогам для системообразующих предприятий</c:v>
                </c:pt>
                <c:pt idx="4">
                  <c:v>Освобождение от налогов в виде субсидий для субъектов МСП относящихся к пострадавшим отраслям</c:v>
                </c:pt>
                <c:pt idx="5">
                  <c:v>Продление сроков уплаты налогов для субъектов МСП, относящихся к пострадавшим отраслям</c:v>
                </c:pt>
                <c:pt idx="6">
                  <c:v>Применение пониженных ставок страховых взносов для субъектов МСП</c:v>
                </c:pt>
                <c:pt idx="7">
                  <c:v>Продление сроков представления отчетности</c:v>
                </c:pt>
                <c:pt idx="8">
                  <c:v>Отсрочка (рассрочка) уплаты фискальных платежей для компаний из сфер, наиболее пострадавших от коронавируса</c:v>
                </c:pt>
                <c:pt idx="9">
                  <c:v>Продление сроков ответов на налоговые требования</c:v>
                </c:pt>
              </c:strCache>
            </c:strRef>
          </c:cat>
          <c:val>
            <c:numRef>
              <c:f>Лист1!$B$2:$B$11</c:f>
              <c:numCache>
                <c:formatCode>###0.0%</c:formatCode>
                <c:ptCount val="10"/>
                <c:pt idx="0">
                  <c:v>0.13400000000000001</c:v>
                </c:pt>
                <c:pt idx="1">
                  <c:v>7.3000000000000009E-2</c:v>
                </c:pt>
                <c:pt idx="2">
                  <c:v>6.2000000000000034E-2</c:v>
                </c:pt>
                <c:pt idx="3">
                  <c:v>5.1000000000000004E-2</c:v>
                </c:pt>
                <c:pt idx="4">
                  <c:v>3.7999999999999999E-2</c:v>
                </c:pt>
                <c:pt idx="5">
                  <c:v>2.5999999999999999E-2</c:v>
                </c:pt>
                <c:pt idx="6">
                  <c:v>2.5999999999999999E-2</c:v>
                </c:pt>
                <c:pt idx="7">
                  <c:v>1.7999999999999999E-2</c:v>
                </c:pt>
                <c:pt idx="8">
                  <c:v>1.2999999999999998E-2</c:v>
                </c:pt>
                <c:pt idx="9">
                  <c:v>1.2E-2</c:v>
                </c:pt>
              </c:numCache>
            </c:numRef>
          </c:val>
          <c:extLst>
            <c:ext xmlns:c16="http://schemas.microsoft.com/office/drawing/2014/chart" uri="{C3380CC4-5D6E-409C-BE32-E72D297353CC}">
              <c16:uniqueId val="{00000000-3E80-4144-8AA8-CACDC8359546}"/>
            </c:ext>
          </c:extLst>
        </c:ser>
        <c:dLbls>
          <c:showLegendKey val="0"/>
          <c:showVal val="0"/>
          <c:showCatName val="0"/>
          <c:showSerName val="0"/>
          <c:showPercent val="0"/>
          <c:showBubbleSize val="0"/>
        </c:dLbls>
        <c:gapWidth val="75"/>
        <c:axId val="500650368"/>
        <c:axId val="500651904"/>
      </c:barChart>
      <c:catAx>
        <c:axId val="500650368"/>
        <c:scaling>
          <c:orientation val="minMax"/>
        </c:scaling>
        <c:delete val="0"/>
        <c:axPos val="l"/>
        <c:numFmt formatCode="General" sourceLinked="0"/>
        <c:majorTickMark val="out"/>
        <c:minorTickMark val="none"/>
        <c:tickLblPos val="nextTo"/>
        <c:crossAx val="500651904"/>
        <c:crosses val="autoZero"/>
        <c:auto val="1"/>
        <c:lblAlgn val="ctr"/>
        <c:lblOffset val="100"/>
        <c:noMultiLvlLbl val="0"/>
      </c:catAx>
      <c:valAx>
        <c:axId val="500651904"/>
        <c:scaling>
          <c:orientation val="minMax"/>
        </c:scaling>
        <c:delete val="1"/>
        <c:axPos val="b"/>
        <c:numFmt formatCode="###0.0%" sourceLinked="1"/>
        <c:majorTickMark val="out"/>
        <c:minorTickMark val="none"/>
        <c:tickLblPos val="none"/>
        <c:crossAx val="500650368"/>
        <c:crosses val="autoZero"/>
        <c:crossBetween val="between"/>
      </c:valAx>
    </c:plotArea>
    <c:plotVisOnly val="1"/>
    <c:dispBlanksAs val="gap"/>
    <c:showDLblsOverMax val="0"/>
  </c:chart>
  <c:txPr>
    <a:bodyPr/>
    <a:lstStyle/>
    <a:p>
      <a:pPr>
        <a:defRPr>
          <a:latin typeface="Garamond" pitchFamily="18" charset="0"/>
        </a:defRPr>
      </a:pPr>
      <a:endParaRPr lang="ru-RU"/>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t>Универсальные меры</a:t>
            </a:r>
          </a:p>
        </c:rich>
      </c:tx>
      <c:overlay val="0"/>
    </c:title>
    <c:autoTitleDeleted val="0"/>
    <c:plotArea>
      <c:layout>
        <c:manualLayout>
          <c:layoutTarget val="inner"/>
          <c:xMode val="edge"/>
          <c:yMode val="edge"/>
          <c:x val="0.49743256051327001"/>
          <c:y val="0.20306711661042409"/>
          <c:w val="0.47710447652376786"/>
          <c:h val="0.75328208973878252"/>
        </c:manualLayout>
      </c:layout>
      <c:barChart>
        <c:barDir val="bar"/>
        <c:grouping val="percentStacked"/>
        <c:varyColors val="0"/>
        <c:ser>
          <c:idx val="0"/>
          <c:order val="0"/>
          <c:tx>
            <c:strRef>
              <c:f>Лист1!$B$1</c:f>
              <c:strCache>
                <c:ptCount val="1"/>
                <c:pt idx="0">
                  <c:v>Воспользовались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Уплата авансовых платежей по налогу на прибыль, исходя из фактической прибыли</c:v>
                </c:pt>
                <c:pt idx="1">
                  <c:v>Учёт расходов на мед. изделия согласно перечню</c:v>
                </c:pt>
                <c:pt idx="2">
                  <c:v>Продление сроков представления отчетности</c:v>
                </c:pt>
                <c:pt idx="3">
                  <c:v>Продление сроков ответов на налоговые требования</c:v>
                </c:pt>
                <c:pt idx="4">
                  <c:v>Учёт расходов на дезинсекцию, приобретение приборов, спецодежды</c:v>
                </c:pt>
              </c:strCache>
            </c:strRef>
          </c:cat>
          <c:val>
            <c:numRef>
              <c:f>Лист1!$B$2:$B$6</c:f>
              <c:numCache>
                <c:formatCode>General</c:formatCode>
                <c:ptCount val="5"/>
                <c:pt idx="0">
                  <c:v>18.7</c:v>
                </c:pt>
                <c:pt idx="1">
                  <c:v>36.700000000000003</c:v>
                </c:pt>
                <c:pt idx="2">
                  <c:v>37.300000000000004</c:v>
                </c:pt>
                <c:pt idx="3">
                  <c:v>50.5</c:v>
                </c:pt>
                <c:pt idx="4">
                  <c:v>71.599999999999994</c:v>
                </c:pt>
              </c:numCache>
            </c:numRef>
          </c:val>
          <c:extLst>
            <c:ext xmlns:c16="http://schemas.microsoft.com/office/drawing/2014/chart" uri="{C3380CC4-5D6E-409C-BE32-E72D297353CC}">
              <c16:uniqueId val="{00000000-9C13-4F86-AE8E-883C7F81CFB0}"/>
            </c:ext>
          </c:extLst>
        </c:ser>
        <c:ser>
          <c:idx val="1"/>
          <c:order val="1"/>
          <c:tx>
            <c:strRef>
              <c:f>Лист1!$C$1</c:f>
              <c:strCache>
                <c:ptCount val="1"/>
                <c:pt idx="0">
                  <c:v>Не воспользовались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Уплата авансовых платежей по налогу на прибыль, исходя из фактической прибыли</c:v>
                </c:pt>
                <c:pt idx="1">
                  <c:v>Учёт расходов на мед. изделия согласно перечню</c:v>
                </c:pt>
                <c:pt idx="2">
                  <c:v>Продление сроков представления отчетности</c:v>
                </c:pt>
                <c:pt idx="3">
                  <c:v>Продление сроков ответов на налоговые требования</c:v>
                </c:pt>
                <c:pt idx="4">
                  <c:v>Учёт расходов на дезинсекцию, приобретение приборов, спецодежды</c:v>
                </c:pt>
              </c:strCache>
            </c:strRef>
          </c:cat>
          <c:val>
            <c:numRef>
              <c:f>Лист1!$C$2:$C$6</c:f>
              <c:numCache>
                <c:formatCode>General</c:formatCode>
                <c:ptCount val="5"/>
                <c:pt idx="0">
                  <c:v>81.3</c:v>
                </c:pt>
                <c:pt idx="1">
                  <c:v>63.7</c:v>
                </c:pt>
                <c:pt idx="2">
                  <c:v>62.8</c:v>
                </c:pt>
                <c:pt idx="3">
                  <c:v>53.3</c:v>
                </c:pt>
                <c:pt idx="4">
                  <c:v>28.4</c:v>
                </c:pt>
              </c:numCache>
            </c:numRef>
          </c:val>
          <c:extLst>
            <c:ext xmlns:c16="http://schemas.microsoft.com/office/drawing/2014/chart" uri="{C3380CC4-5D6E-409C-BE32-E72D297353CC}">
              <c16:uniqueId val="{00000001-9C13-4F86-AE8E-883C7F81CFB0}"/>
            </c:ext>
          </c:extLst>
        </c:ser>
        <c:dLbls>
          <c:showLegendKey val="0"/>
          <c:showVal val="1"/>
          <c:showCatName val="0"/>
          <c:showSerName val="0"/>
          <c:showPercent val="0"/>
          <c:showBubbleSize val="0"/>
        </c:dLbls>
        <c:gapWidth val="95"/>
        <c:overlap val="100"/>
        <c:axId val="500710784"/>
        <c:axId val="500823168"/>
      </c:barChart>
      <c:catAx>
        <c:axId val="500710784"/>
        <c:scaling>
          <c:orientation val="minMax"/>
        </c:scaling>
        <c:delete val="0"/>
        <c:axPos val="l"/>
        <c:numFmt formatCode="General" sourceLinked="0"/>
        <c:majorTickMark val="none"/>
        <c:minorTickMark val="none"/>
        <c:tickLblPos val="nextTo"/>
        <c:crossAx val="500823168"/>
        <c:crosses val="autoZero"/>
        <c:auto val="1"/>
        <c:lblAlgn val="ctr"/>
        <c:lblOffset val="100"/>
        <c:noMultiLvlLbl val="0"/>
      </c:catAx>
      <c:valAx>
        <c:axId val="500823168"/>
        <c:scaling>
          <c:orientation val="minMax"/>
        </c:scaling>
        <c:delete val="1"/>
        <c:axPos val="b"/>
        <c:numFmt formatCode="0%" sourceLinked="1"/>
        <c:majorTickMark val="out"/>
        <c:minorTickMark val="none"/>
        <c:tickLblPos val="none"/>
        <c:crossAx val="500710784"/>
        <c:crosses val="autoZero"/>
        <c:crossBetween val="between"/>
      </c:valAx>
    </c:plotArea>
    <c:legend>
      <c:legendPos val="t"/>
      <c:layout>
        <c:manualLayout>
          <c:xMode val="edge"/>
          <c:yMode val="edge"/>
          <c:x val="0.49021289005541058"/>
          <c:y val="0.1319444444444452"/>
          <c:w val="0.48716663021289114"/>
          <c:h val="6.8005561804774406E-2"/>
        </c:manualLayout>
      </c:layout>
      <c:overlay val="0"/>
    </c:legend>
    <c:plotVisOnly val="1"/>
    <c:dispBlanksAs val="gap"/>
    <c:showDLblsOverMax val="0"/>
  </c:chart>
  <c:txPr>
    <a:bodyPr/>
    <a:lstStyle/>
    <a:p>
      <a:pPr>
        <a:defRPr>
          <a:latin typeface="Garamond"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159995625546805E-2"/>
          <c:y val="3.5719672971912982E-3"/>
          <c:w val="0.94905048633626676"/>
          <c:h val="0.69665944470368923"/>
        </c:manualLayout>
      </c:layout>
      <c:barChart>
        <c:barDir val="col"/>
        <c:grouping val="clustered"/>
        <c:varyColors val="0"/>
        <c:ser>
          <c:idx val="0"/>
          <c:order val="0"/>
          <c:tx>
            <c:strRef>
              <c:f>Лист1!$B$1</c:f>
              <c:strCache>
                <c:ptCount val="1"/>
                <c:pt idx="0">
                  <c:v>2018</c:v>
                </c:pt>
              </c:strCache>
            </c:strRef>
          </c:tx>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Улучшилось</c:v>
                </c:pt>
                <c:pt idx="1">
                  <c:v>Не изменилось</c:v>
                </c:pt>
                <c:pt idx="2">
                  <c:v>Ухудшилось</c:v>
                </c:pt>
              </c:strCache>
            </c:strRef>
          </c:cat>
          <c:val>
            <c:numRef>
              <c:f>Лист1!$B$2:$B$4</c:f>
              <c:numCache>
                <c:formatCode>General</c:formatCode>
                <c:ptCount val="3"/>
                <c:pt idx="0">
                  <c:v>27.5</c:v>
                </c:pt>
                <c:pt idx="1">
                  <c:v>30.5</c:v>
                </c:pt>
                <c:pt idx="2">
                  <c:v>42</c:v>
                </c:pt>
              </c:numCache>
            </c:numRef>
          </c:val>
          <c:extLst>
            <c:ext xmlns:c16="http://schemas.microsoft.com/office/drawing/2014/chart" uri="{C3380CC4-5D6E-409C-BE32-E72D297353CC}">
              <c16:uniqueId val="{00000000-8623-4CE1-AAD6-4AAD1F4B3E77}"/>
            </c:ext>
          </c:extLst>
        </c:ser>
        <c:ser>
          <c:idx val="1"/>
          <c:order val="1"/>
          <c:tx>
            <c:strRef>
              <c:f>Лист1!$C$1</c:f>
              <c:strCache>
                <c:ptCount val="1"/>
                <c:pt idx="0">
                  <c:v>2019</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Улучшилось</c:v>
                </c:pt>
                <c:pt idx="1">
                  <c:v>Не изменилось</c:v>
                </c:pt>
                <c:pt idx="2">
                  <c:v>Ухудшилось</c:v>
                </c:pt>
              </c:strCache>
            </c:strRef>
          </c:cat>
          <c:val>
            <c:numRef>
              <c:f>Лист1!$C$2:$C$4</c:f>
              <c:numCache>
                <c:formatCode>General</c:formatCode>
                <c:ptCount val="3"/>
                <c:pt idx="0">
                  <c:v>27.8</c:v>
                </c:pt>
                <c:pt idx="1">
                  <c:v>38</c:v>
                </c:pt>
                <c:pt idx="2">
                  <c:v>34.200000000000003</c:v>
                </c:pt>
              </c:numCache>
            </c:numRef>
          </c:val>
          <c:extLst>
            <c:ext xmlns:c16="http://schemas.microsoft.com/office/drawing/2014/chart" uri="{C3380CC4-5D6E-409C-BE32-E72D297353CC}">
              <c16:uniqueId val="{00000001-8623-4CE1-AAD6-4AAD1F4B3E77}"/>
            </c:ext>
          </c:extLst>
        </c:ser>
        <c:dLbls>
          <c:showLegendKey val="0"/>
          <c:showVal val="1"/>
          <c:showCatName val="0"/>
          <c:showSerName val="0"/>
          <c:showPercent val="0"/>
          <c:showBubbleSize val="0"/>
        </c:dLbls>
        <c:gapWidth val="75"/>
        <c:axId val="224394240"/>
        <c:axId val="292127488"/>
      </c:barChart>
      <c:catAx>
        <c:axId val="224394240"/>
        <c:scaling>
          <c:orientation val="minMax"/>
        </c:scaling>
        <c:delete val="0"/>
        <c:axPos val="b"/>
        <c:numFmt formatCode="General" sourceLinked="0"/>
        <c:majorTickMark val="none"/>
        <c:minorTickMark val="none"/>
        <c:tickLblPos val="nextTo"/>
        <c:txPr>
          <a:bodyPr/>
          <a:lstStyle/>
          <a:p>
            <a:pPr>
              <a:defRPr sz="1100"/>
            </a:pPr>
            <a:endParaRPr lang="ru-RU"/>
          </a:p>
        </c:txPr>
        <c:crossAx val="292127488"/>
        <c:crosses val="autoZero"/>
        <c:auto val="1"/>
        <c:lblAlgn val="ctr"/>
        <c:lblOffset val="100"/>
        <c:noMultiLvlLbl val="0"/>
      </c:catAx>
      <c:valAx>
        <c:axId val="292127488"/>
        <c:scaling>
          <c:orientation val="minMax"/>
        </c:scaling>
        <c:delete val="1"/>
        <c:axPos val="l"/>
        <c:numFmt formatCode="General" sourceLinked="1"/>
        <c:majorTickMark val="out"/>
        <c:minorTickMark val="none"/>
        <c:tickLblPos val="none"/>
        <c:crossAx val="224394240"/>
        <c:crosses val="autoZero"/>
        <c:crossBetween val="between"/>
      </c:valAx>
    </c:plotArea>
    <c:legend>
      <c:legendPos val="t"/>
      <c:layout>
        <c:manualLayout>
          <c:xMode val="edge"/>
          <c:yMode val="edge"/>
          <c:x val="0.30833661417322833"/>
          <c:y val="0.84761094518357616"/>
          <c:w val="0.3568977836103821"/>
          <c:h val="0.15076839532989411"/>
        </c:manualLayout>
      </c:layout>
      <c:overlay val="0"/>
    </c:legend>
    <c:plotVisOnly val="1"/>
    <c:dispBlanksAs val="gap"/>
    <c:showDLblsOverMax val="0"/>
  </c:chart>
  <c:spPr>
    <a:ln>
      <a:solidFill>
        <a:schemeClr val="bg1">
          <a:lumMod val="65000"/>
        </a:schemeClr>
      </a:solidFill>
    </a:ln>
  </c:spPr>
  <c:txPr>
    <a:bodyPr/>
    <a:lstStyle/>
    <a:p>
      <a:pPr>
        <a:defRPr>
          <a:latin typeface="Garamond" panose="02020404030301010803" pitchFamily="18" charset="0"/>
        </a:defRPr>
      </a:pPr>
      <a:endParaRPr lang="ru-RU"/>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b="1" i="0" u="none" strike="noStrike" baseline="0"/>
              <a:t>Меры поддержки субъектов МСП</a:t>
            </a:r>
            <a:endParaRPr lang="ru-RU" sz="1400"/>
          </a:p>
        </c:rich>
      </c:tx>
      <c:layout>
        <c:manualLayout>
          <c:xMode val="edge"/>
          <c:yMode val="edge"/>
          <c:x val="0.27927657480314982"/>
          <c:y val="3.6529680365296795E-2"/>
        </c:manualLayout>
      </c:layout>
      <c:overlay val="0"/>
    </c:title>
    <c:autoTitleDeleted val="0"/>
    <c:plotArea>
      <c:layout>
        <c:manualLayout>
          <c:layoutTarget val="inner"/>
          <c:xMode val="edge"/>
          <c:yMode val="edge"/>
          <c:x val="0.47930520733101223"/>
          <c:y val="0.20306711661042426"/>
          <c:w val="0.52069479266899199"/>
          <c:h val="0.75328208973878252"/>
        </c:manualLayout>
      </c:layout>
      <c:barChart>
        <c:barDir val="bar"/>
        <c:grouping val="percentStacked"/>
        <c:varyColors val="0"/>
        <c:ser>
          <c:idx val="0"/>
          <c:order val="0"/>
          <c:tx>
            <c:strRef>
              <c:f>Лист1!$B$1</c:f>
              <c:strCache>
                <c:ptCount val="1"/>
                <c:pt idx="0">
                  <c:v>Воспользовались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Освобождение от налогов в виде субсидий для компаний, относящихся к пострадавшим отраслям</c:v>
                </c:pt>
                <c:pt idx="1">
                  <c:v>Продление сроков уплаты налогов для компаний, относящихся к пострадавшим отраслям</c:v>
                </c:pt>
                <c:pt idx="2">
                  <c:v>Применение пониженных ставок страховых взносов </c:v>
                </c:pt>
              </c:strCache>
            </c:strRef>
          </c:cat>
          <c:val>
            <c:numRef>
              <c:f>Лист1!$B$2:$B$4</c:f>
              <c:numCache>
                <c:formatCode>General</c:formatCode>
                <c:ptCount val="3"/>
                <c:pt idx="0">
                  <c:v>4.9000000000000004</c:v>
                </c:pt>
                <c:pt idx="1">
                  <c:v>8.3000000000000007</c:v>
                </c:pt>
                <c:pt idx="2">
                  <c:v>43.4</c:v>
                </c:pt>
              </c:numCache>
            </c:numRef>
          </c:val>
          <c:extLst>
            <c:ext xmlns:c16="http://schemas.microsoft.com/office/drawing/2014/chart" uri="{C3380CC4-5D6E-409C-BE32-E72D297353CC}">
              <c16:uniqueId val="{00000000-BEBA-4125-9CCB-F9460D56497E}"/>
            </c:ext>
          </c:extLst>
        </c:ser>
        <c:ser>
          <c:idx val="1"/>
          <c:order val="1"/>
          <c:tx>
            <c:strRef>
              <c:f>Лист1!$C$1</c:f>
              <c:strCache>
                <c:ptCount val="1"/>
                <c:pt idx="0">
                  <c:v>Не воспользовались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Освобождение от налогов в виде субсидий для компаний, относящихся к пострадавшим отраслям</c:v>
                </c:pt>
                <c:pt idx="1">
                  <c:v>Продление сроков уплаты налогов для компаний, относящихся к пострадавшим отраслям</c:v>
                </c:pt>
                <c:pt idx="2">
                  <c:v>Применение пониженных ставок страховых взносов </c:v>
                </c:pt>
              </c:strCache>
            </c:strRef>
          </c:cat>
          <c:val>
            <c:numRef>
              <c:f>Лист1!$C$2:$C$4</c:f>
              <c:numCache>
                <c:formatCode>General</c:formatCode>
                <c:ptCount val="3"/>
                <c:pt idx="0">
                  <c:v>95.1</c:v>
                </c:pt>
                <c:pt idx="1">
                  <c:v>91.7</c:v>
                </c:pt>
                <c:pt idx="2">
                  <c:v>56.6</c:v>
                </c:pt>
              </c:numCache>
            </c:numRef>
          </c:val>
          <c:extLst>
            <c:ext xmlns:c16="http://schemas.microsoft.com/office/drawing/2014/chart" uri="{C3380CC4-5D6E-409C-BE32-E72D297353CC}">
              <c16:uniqueId val="{00000001-BEBA-4125-9CCB-F9460D56497E}"/>
            </c:ext>
          </c:extLst>
        </c:ser>
        <c:dLbls>
          <c:showLegendKey val="0"/>
          <c:showVal val="1"/>
          <c:showCatName val="0"/>
          <c:showSerName val="0"/>
          <c:showPercent val="0"/>
          <c:showBubbleSize val="0"/>
        </c:dLbls>
        <c:gapWidth val="95"/>
        <c:overlap val="100"/>
        <c:axId val="505416704"/>
        <c:axId val="505422592"/>
      </c:barChart>
      <c:catAx>
        <c:axId val="505416704"/>
        <c:scaling>
          <c:orientation val="minMax"/>
        </c:scaling>
        <c:delete val="0"/>
        <c:axPos val="l"/>
        <c:numFmt formatCode="General" sourceLinked="0"/>
        <c:majorTickMark val="none"/>
        <c:minorTickMark val="none"/>
        <c:tickLblPos val="nextTo"/>
        <c:crossAx val="505422592"/>
        <c:crosses val="autoZero"/>
        <c:auto val="1"/>
        <c:lblAlgn val="ctr"/>
        <c:lblOffset val="100"/>
        <c:noMultiLvlLbl val="0"/>
      </c:catAx>
      <c:valAx>
        <c:axId val="505422592"/>
        <c:scaling>
          <c:orientation val="minMax"/>
        </c:scaling>
        <c:delete val="1"/>
        <c:axPos val="b"/>
        <c:numFmt formatCode="0%" sourceLinked="1"/>
        <c:majorTickMark val="out"/>
        <c:minorTickMark val="none"/>
        <c:tickLblPos val="none"/>
        <c:crossAx val="505416704"/>
        <c:crosses val="autoZero"/>
        <c:crossBetween val="between"/>
      </c:valAx>
    </c:plotArea>
    <c:legend>
      <c:legendPos val="t"/>
      <c:layout>
        <c:manualLayout>
          <c:xMode val="edge"/>
          <c:yMode val="edge"/>
          <c:x val="0.485156386701663"/>
          <c:y val="0.16847421469576573"/>
          <c:w val="0.4990232210557024"/>
          <c:h val="9.2358729131461328E-2"/>
        </c:manualLayout>
      </c:layout>
      <c:overlay val="0"/>
    </c:legend>
    <c:plotVisOnly val="1"/>
    <c:dispBlanksAs val="gap"/>
    <c:showDLblsOverMax val="0"/>
  </c:chart>
  <c:txPr>
    <a:bodyPr/>
    <a:lstStyle/>
    <a:p>
      <a:pPr>
        <a:defRPr>
          <a:latin typeface="Garamond" pitchFamily="18" charset="0"/>
        </a:defRPr>
      </a:pPr>
      <a:endParaRPr lang="ru-RU"/>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b="1" i="0" u="none" strike="noStrike" baseline="0"/>
              <a:t>Мера поддержки компаний из наиболее пострадавших отраслей</a:t>
            </a:r>
            <a:endParaRPr lang="ru-RU" sz="1400"/>
          </a:p>
        </c:rich>
      </c:tx>
      <c:layout>
        <c:manualLayout>
          <c:xMode val="edge"/>
          <c:yMode val="edge"/>
          <c:x val="0.10103583406240886"/>
          <c:y val="0"/>
        </c:manualLayout>
      </c:layout>
      <c:overlay val="0"/>
    </c:title>
    <c:autoTitleDeleted val="0"/>
    <c:plotArea>
      <c:layout>
        <c:manualLayout>
          <c:layoutTarget val="inner"/>
          <c:xMode val="edge"/>
          <c:yMode val="edge"/>
          <c:x val="0.47930513660916768"/>
          <c:y val="0.31874447200949291"/>
          <c:w val="0.52069479266899199"/>
          <c:h val="0.5645455961840401"/>
        </c:manualLayout>
      </c:layout>
      <c:barChart>
        <c:barDir val="bar"/>
        <c:grouping val="percentStacked"/>
        <c:varyColors val="0"/>
        <c:ser>
          <c:idx val="0"/>
          <c:order val="0"/>
          <c:tx>
            <c:strRef>
              <c:f>Лист1!$B$1</c:f>
              <c:strCache>
                <c:ptCount val="1"/>
                <c:pt idx="0">
                  <c:v>Воспользовались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Отсрочка (рассрочка) уплаты налогов, авансовых платежей по налогам и страховым взносам</c:v>
                </c:pt>
              </c:strCache>
            </c:strRef>
          </c:cat>
          <c:val>
            <c:numRef>
              <c:f>Лист1!$B$2</c:f>
              <c:numCache>
                <c:formatCode>General</c:formatCode>
                <c:ptCount val="1"/>
                <c:pt idx="0">
                  <c:v>9.5</c:v>
                </c:pt>
              </c:numCache>
            </c:numRef>
          </c:val>
          <c:extLst>
            <c:ext xmlns:c16="http://schemas.microsoft.com/office/drawing/2014/chart" uri="{C3380CC4-5D6E-409C-BE32-E72D297353CC}">
              <c16:uniqueId val="{00000000-47BF-4864-8AEE-6EF0B9239F7F}"/>
            </c:ext>
          </c:extLst>
        </c:ser>
        <c:ser>
          <c:idx val="1"/>
          <c:order val="1"/>
          <c:tx>
            <c:strRef>
              <c:f>Лист1!$C$1</c:f>
              <c:strCache>
                <c:ptCount val="1"/>
                <c:pt idx="0">
                  <c:v>Не воспользовались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Отсрочка (рассрочка) уплаты налогов, авансовых платежей по налогам и страховым взносам</c:v>
                </c:pt>
              </c:strCache>
            </c:strRef>
          </c:cat>
          <c:val>
            <c:numRef>
              <c:f>Лист1!$C$2</c:f>
              <c:numCache>
                <c:formatCode>General</c:formatCode>
                <c:ptCount val="1"/>
                <c:pt idx="0">
                  <c:v>90.5</c:v>
                </c:pt>
              </c:numCache>
            </c:numRef>
          </c:val>
          <c:extLst>
            <c:ext xmlns:c16="http://schemas.microsoft.com/office/drawing/2014/chart" uri="{C3380CC4-5D6E-409C-BE32-E72D297353CC}">
              <c16:uniqueId val="{00000001-47BF-4864-8AEE-6EF0B9239F7F}"/>
            </c:ext>
          </c:extLst>
        </c:ser>
        <c:dLbls>
          <c:showLegendKey val="0"/>
          <c:showVal val="1"/>
          <c:showCatName val="0"/>
          <c:showSerName val="0"/>
          <c:showPercent val="0"/>
          <c:showBubbleSize val="0"/>
        </c:dLbls>
        <c:gapWidth val="95"/>
        <c:overlap val="100"/>
        <c:axId val="505461376"/>
        <c:axId val="505475456"/>
      </c:barChart>
      <c:catAx>
        <c:axId val="505461376"/>
        <c:scaling>
          <c:orientation val="minMax"/>
        </c:scaling>
        <c:delete val="0"/>
        <c:axPos val="l"/>
        <c:numFmt formatCode="General" sourceLinked="0"/>
        <c:majorTickMark val="none"/>
        <c:minorTickMark val="none"/>
        <c:tickLblPos val="nextTo"/>
        <c:crossAx val="505475456"/>
        <c:crosses val="autoZero"/>
        <c:auto val="1"/>
        <c:lblAlgn val="ctr"/>
        <c:lblOffset val="100"/>
        <c:noMultiLvlLbl val="0"/>
      </c:catAx>
      <c:valAx>
        <c:axId val="505475456"/>
        <c:scaling>
          <c:orientation val="minMax"/>
        </c:scaling>
        <c:delete val="1"/>
        <c:axPos val="b"/>
        <c:numFmt formatCode="0%" sourceLinked="1"/>
        <c:majorTickMark val="out"/>
        <c:minorTickMark val="none"/>
        <c:tickLblPos val="none"/>
        <c:crossAx val="505461376"/>
        <c:crosses val="autoZero"/>
        <c:crossBetween val="between"/>
      </c:valAx>
    </c:plotArea>
    <c:legend>
      <c:legendPos val="t"/>
      <c:layout>
        <c:manualLayout>
          <c:xMode val="edge"/>
          <c:yMode val="edge"/>
          <c:x val="0.48747120151647738"/>
          <c:y val="0.25979841560900785"/>
          <c:w val="0.4990232210557024"/>
          <c:h val="9.2358729131461328E-2"/>
        </c:manualLayout>
      </c:layout>
      <c:overlay val="0"/>
    </c:legend>
    <c:plotVisOnly val="1"/>
    <c:dispBlanksAs val="gap"/>
    <c:showDLblsOverMax val="0"/>
  </c:chart>
  <c:txPr>
    <a:bodyPr/>
    <a:lstStyle/>
    <a:p>
      <a:pPr>
        <a:defRPr>
          <a:latin typeface="Garamond" pitchFamily="18" charset="0"/>
        </a:defRPr>
      </a:pPr>
      <a:endParaRPr lang="ru-RU"/>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b="1" i="0" u="none" strike="noStrike" baseline="0"/>
              <a:t>Меры поддержки системообразующих предприятий</a:t>
            </a:r>
            <a:endParaRPr lang="ru-RU" sz="1400"/>
          </a:p>
        </c:rich>
      </c:tx>
      <c:layout>
        <c:manualLayout>
          <c:xMode val="edge"/>
          <c:yMode val="edge"/>
          <c:x val="0.21446175998833494"/>
          <c:y val="0"/>
        </c:manualLayout>
      </c:layout>
      <c:overlay val="0"/>
    </c:title>
    <c:autoTitleDeleted val="0"/>
    <c:plotArea>
      <c:layout>
        <c:manualLayout>
          <c:layoutTarget val="inner"/>
          <c:xMode val="edge"/>
          <c:yMode val="edge"/>
          <c:x val="0.49058555497821682"/>
          <c:y val="0.20306711661042426"/>
          <c:w val="0.50941444502178346"/>
          <c:h val="0.75328208973878252"/>
        </c:manualLayout>
      </c:layout>
      <c:barChart>
        <c:barDir val="bar"/>
        <c:grouping val="percentStacked"/>
        <c:varyColors val="0"/>
        <c:ser>
          <c:idx val="0"/>
          <c:order val="0"/>
          <c:tx>
            <c:strRef>
              <c:f>Лист1!$B$1</c:f>
              <c:strCache>
                <c:ptCount val="1"/>
                <c:pt idx="0">
                  <c:v>Воспользовались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Отсрочка (рассрочка) уплаты налогов, авансовых платежей по налогам</c:v>
                </c:pt>
              </c:strCache>
            </c:strRef>
          </c:cat>
          <c:val>
            <c:numRef>
              <c:f>Лист1!$B$2</c:f>
              <c:numCache>
                <c:formatCode>General</c:formatCode>
                <c:ptCount val="1"/>
                <c:pt idx="0">
                  <c:v>5.4</c:v>
                </c:pt>
              </c:numCache>
            </c:numRef>
          </c:val>
          <c:extLst>
            <c:ext xmlns:c16="http://schemas.microsoft.com/office/drawing/2014/chart" uri="{C3380CC4-5D6E-409C-BE32-E72D297353CC}">
              <c16:uniqueId val="{00000000-46BE-43EC-A7A8-B33D110B7D51}"/>
            </c:ext>
          </c:extLst>
        </c:ser>
        <c:ser>
          <c:idx val="1"/>
          <c:order val="1"/>
          <c:tx>
            <c:strRef>
              <c:f>Лист1!$C$1</c:f>
              <c:strCache>
                <c:ptCount val="1"/>
                <c:pt idx="0">
                  <c:v>Не воспользовались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Отсрочка (рассрочка) уплаты налогов, авансовых платежей по налогам</c:v>
                </c:pt>
              </c:strCache>
            </c:strRef>
          </c:cat>
          <c:val>
            <c:numRef>
              <c:f>Лист1!$C$2</c:f>
              <c:numCache>
                <c:formatCode>General</c:formatCode>
                <c:ptCount val="1"/>
                <c:pt idx="0">
                  <c:v>94.6</c:v>
                </c:pt>
              </c:numCache>
            </c:numRef>
          </c:val>
          <c:extLst>
            <c:ext xmlns:c16="http://schemas.microsoft.com/office/drawing/2014/chart" uri="{C3380CC4-5D6E-409C-BE32-E72D297353CC}">
              <c16:uniqueId val="{00000001-46BE-43EC-A7A8-B33D110B7D51}"/>
            </c:ext>
          </c:extLst>
        </c:ser>
        <c:dLbls>
          <c:showLegendKey val="0"/>
          <c:showVal val="1"/>
          <c:showCatName val="0"/>
          <c:showSerName val="0"/>
          <c:showPercent val="0"/>
          <c:showBubbleSize val="0"/>
        </c:dLbls>
        <c:gapWidth val="95"/>
        <c:overlap val="100"/>
        <c:axId val="500046080"/>
        <c:axId val="500658176"/>
      </c:barChart>
      <c:catAx>
        <c:axId val="500046080"/>
        <c:scaling>
          <c:orientation val="minMax"/>
        </c:scaling>
        <c:delete val="0"/>
        <c:axPos val="l"/>
        <c:numFmt formatCode="General" sourceLinked="0"/>
        <c:majorTickMark val="none"/>
        <c:minorTickMark val="none"/>
        <c:tickLblPos val="nextTo"/>
        <c:crossAx val="500658176"/>
        <c:crosses val="autoZero"/>
        <c:auto val="1"/>
        <c:lblAlgn val="ctr"/>
        <c:lblOffset val="100"/>
        <c:noMultiLvlLbl val="0"/>
      </c:catAx>
      <c:valAx>
        <c:axId val="500658176"/>
        <c:scaling>
          <c:orientation val="minMax"/>
        </c:scaling>
        <c:delete val="1"/>
        <c:axPos val="b"/>
        <c:numFmt formatCode="0%" sourceLinked="1"/>
        <c:majorTickMark val="out"/>
        <c:minorTickMark val="none"/>
        <c:tickLblPos val="none"/>
        <c:crossAx val="500046080"/>
        <c:crosses val="autoZero"/>
        <c:crossBetween val="between"/>
      </c:valAx>
    </c:plotArea>
    <c:legend>
      <c:legendPos val="t"/>
      <c:layout>
        <c:manualLayout>
          <c:xMode val="edge"/>
          <c:yMode val="edge"/>
          <c:x val="0.48747120151647738"/>
          <c:y val="0.25979841560900785"/>
          <c:w val="0.4990232210557024"/>
          <c:h val="9.2358729131461328E-2"/>
        </c:manualLayout>
      </c:layout>
      <c:overlay val="0"/>
    </c:legend>
    <c:plotVisOnly val="1"/>
    <c:dispBlanksAs val="gap"/>
    <c:showDLblsOverMax val="0"/>
  </c:chart>
  <c:txPr>
    <a:bodyPr/>
    <a:lstStyle/>
    <a:p>
      <a:pPr>
        <a:defRPr>
          <a:latin typeface="Garamond" pitchFamily="18" charset="0"/>
        </a:defRPr>
      </a:pPr>
      <a:endParaRPr lang="ru-RU"/>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sz="1400"/>
            </a:pPr>
            <a:r>
              <a:rPr lang="ru-RU" sz="1400"/>
              <a:t>Универсальные меры: соотношение</a:t>
            </a:r>
            <a:r>
              <a:rPr lang="ru-RU" sz="1400" baseline="0"/>
              <a:t> положительных и негативных оценок</a:t>
            </a:r>
            <a:endParaRPr lang="ru-RU" sz="1400"/>
          </a:p>
        </c:rich>
      </c:tx>
      <c:layout>
        <c:manualLayout>
          <c:xMode val="edge"/>
          <c:yMode val="edge"/>
          <c:x val="0.15704477036217146"/>
          <c:y val="0"/>
        </c:manualLayout>
      </c:layout>
      <c:overlay val="0"/>
    </c:title>
    <c:autoTitleDeleted val="0"/>
    <c:plotArea>
      <c:layout>
        <c:manualLayout>
          <c:layoutTarget val="inner"/>
          <c:xMode val="edge"/>
          <c:yMode val="edge"/>
          <c:x val="0.49523584312344382"/>
          <c:y val="0.19810201660735469"/>
          <c:w val="0.48133497689785693"/>
          <c:h val="0.63991743025004522"/>
        </c:manualLayout>
      </c:layout>
      <c:barChart>
        <c:barDir val="bar"/>
        <c:grouping val="stacked"/>
        <c:varyColors val="0"/>
        <c:ser>
          <c:idx val="0"/>
          <c:order val="0"/>
          <c:tx>
            <c:strRef>
              <c:f>Лист1!$B$1</c:f>
              <c:strCache>
                <c:ptCount val="1"/>
                <c:pt idx="0">
                  <c:v>мера полностью устраивает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Уплата авансовых платежей по налогу на прибыль, исходя из фактической прибыли</c:v>
                </c:pt>
                <c:pt idx="1">
                  <c:v>Учёт расходов на мед.изделия согласно перечню</c:v>
                </c:pt>
                <c:pt idx="2">
                  <c:v>Продление сроков представления отчетности</c:v>
                </c:pt>
                <c:pt idx="3">
                  <c:v>Учёт расходов на дезинсекцию, приобретение приборов, спецодежды</c:v>
                </c:pt>
                <c:pt idx="4">
                  <c:v>Продление сроков ответов на налоговые требования</c:v>
                </c:pt>
              </c:strCache>
            </c:strRef>
          </c:cat>
          <c:val>
            <c:numRef>
              <c:f>Лист1!$B$2:$B$6</c:f>
              <c:numCache>
                <c:formatCode>###0.0%</c:formatCode>
                <c:ptCount val="5"/>
                <c:pt idx="0">
                  <c:v>0.51900000000000002</c:v>
                </c:pt>
                <c:pt idx="1">
                  <c:v>0.53500000000000003</c:v>
                </c:pt>
                <c:pt idx="2">
                  <c:v>0.61900000000000077</c:v>
                </c:pt>
                <c:pt idx="3">
                  <c:v>0.65900000000000103</c:v>
                </c:pt>
                <c:pt idx="4">
                  <c:v>0.70900000000000063</c:v>
                </c:pt>
              </c:numCache>
            </c:numRef>
          </c:val>
          <c:extLst>
            <c:ext xmlns:c16="http://schemas.microsoft.com/office/drawing/2014/chart" uri="{C3380CC4-5D6E-409C-BE32-E72D297353CC}">
              <c16:uniqueId val="{00000000-8365-47A5-83BC-0DB5B2ED057F}"/>
            </c:ext>
          </c:extLst>
        </c:ser>
        <c:ser>
          <c:idx val="1"/>
          <c:order val="1"/>
          <c:tx>
            <c:strRef>
              <c:f>Лист1!$C$1</c:f>
              <c:strCache>
                <c:ptCount val="1"/>
                <c:pt idx="0">
                  <c:v>мера не может помочь компании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Уплата авансовых платежей по налогу на прибыль, исходя из фактической прибыли</c:v>
                </c:pt>
                <c:pt idx="1">
                  <c:v>Учёт расходов на мед.изделия согласно перечню</c:v>
                </c:pt>
                <c:pt idx="2">
                  <c:v>Продление сроков представления отчетности</c:v>
                </c:pt>
                <c:pt idx="3">
                  <c:v>Учёт расходов на дезинсекцию, приобретение приборов, спецодежды</c:v>
                </c:pt>
                <c:pt idx="4">
                  <c:v>Продление сроков ответов на налоговые требования</c:v>
                </c:pt>
              </c:strCache>
            </c:strRef>
          </c:cat>
          <c:val>
            <c:numRef>
              <c:f>Лист1!$C$2:$C$6</c:f>
              <c:numCache>
                <c:formatCode>###0.0%</c:formatCode>
                <c:ptCount val="5"/>
                <c:pt idx="0">
                  <c:v>0.222</c:v>
                </c:pt>
                <c:pt idx="1">
                  <c:v>0.18800000000000022</c:v>
                </c:pt>
                <c:pt idx="2">
                  <c:v>0.16900000000000001</c:v>
                </c:pt>
                <c:pt idx="3">
                  <c:v>0.17100000000000001</c:v>
                </c:pt>
                <c:pt idx="4">
                  <c:v>0.14600000000000019</c:v>
                </c:pt>
              </c:numCache>
            </c:numRef>
          </c:val>
          <c:extLst>
            <c:ext xmlns:c16="http://schemas.microsoft.com/office/drawing/2014/chart" uri="{C3380CC4-5D6E-409C-BE32-E72D297353CC}">
              <c16:uniqueId val="{00000001-8365-47A5-83BC-0DB5B2ED057F}"/>
            </c:ext>
          </c:extLst>
        </c:ser>
        <c:dLbls>
          <c:showLegendKey val="0"/>
          <c:showVal val="0"/>
          <c:showCatName val="0"/>
          <c:showSerName val="0"/>
          <c:showPercent val="0"/>
          <c:showBubbleSize val="0"/>
        </c:dLbls>
        <c:gapWidth val="75"/>
        <c:overlap val="100"/>
        <c:axId val="505571200"/>
        <c:axId val="505572736"/>
      </c:barChart>
      <c:catAx>
        <c:axId val="505571200"/>
        <c:scaling>
          <c:orientation val="minMax"/>
        </c:scaling>
        <c:delete val="0"/>
        <c:axPos val="l"/>
        <c:numFmt formatCode="General" sourceLinked="0"/>
        <c:majorTickMark val="none"/>
        <c:minorTickMark val="none"/>
        <c:tickLblPos val="nextTo"/>
        <c:crossAx val="505572736"/>
        <c:crosses val="autoZero"/>
        <c:auto val="1"/>
        <c:lblAlgn val="ctr"/>
        <c:lblOffset val="100"/>
        <c:noMultiLvlLbl val="0"/>
      </c:catAx>
      <c:valAx>
        <c:axId val="505572736"/>
        <c:scaling>
          <c:orientation val="minMax"/>
        </c:scaling>
        <c:delete val="0"/>
        <c:axPos val="b"/>
        <c:numFmt formatCode="###0.0%" sourceLinked="1"/>
        <c:majorTickMark val="none"/>
        <c:minorTickMark val="none"/>
        <c:tickLblPos val="none"/>
        <c:crossAx val="505571200"/>
        <c:crosses val="autoZero"/>
        <c:crossBetween val="between"/>
      </c:valAx>
    </c:plotArea>
    <c:legend>
      <c:legendPos val="b"/>
      <c:layout>
        <c:manualLayout>
          <c:xMode val="edge"/>
          <c:yMode val="edge"/>
          <c:x val="9.5495285311558251E-2"/>
          <c:y val="0.88814679415073117"/>
          <c:w val="0.84104784003449062"/>
          <c:h val="8.8043682039745039E-2"/>
        </c:manualLayout>
      </c:layout>
      <c:overlay val="0"/>
    </c:legend>
    <c:plotVisOnly val="1"/>
    <c:dispBlanksAs val="gap"/>
    <c:showDLblsOverMax val="0"/>
  </c:chart>
  <c:txPr>
    <a:bodyPr/>
    <a:lstStyle/>
    <a:p>
      <a:pPr>
        <a:defRPr>
          <a:latin typeface="Garamond" pitchFamily="18" charset="0"/>
        </a:defRPr>
      </a:pPr>
      <a:endParaRPr lang="ru-RU"/>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sz="1400"/>
            </a:pPr>
            <a:r>
              <a:rPr lang="ru-RU" sz="1400"/>
              <a:t>Универсальные меры: другие</a:t>
            </a:r>
            <a:r>
              <a:rPr lang="ru-RU" sz="1400" baseline="0"/>
              <a:t> варианты </a:t>
            </a:r>
            <a:endParaRPr lang="ru-RU" sz="1400"/>
          </a:p>
        </c:rich>
      </c:tx>
      <c:overlay val="0"/>
    </c:title>
    <c:autoTitleDeleted val="0"/>
    <c:plotArea>
      <c:layout/>
      <c:barChart>
        <c:barDir val="bar"/>
        <c:grouping val="stacked"/>
        <c:varyColors val="0"/>
        <c:ser>
          <c:idx val="0"/>
          <c:order val="0"/>
          <c:tx>
            <c:strRef>
              <c:f>Лист1!$B$1</c:f>
              <c:strCache>
                <c:ptCount val="1"/>
                <c:pt idx="0">
                  <c:v>есть ряд проблем с правоприменением (4)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Продление сроков ответов на налоговые требования</c:v>
                </c:pt>
                <c:pt idx="1">
                  <c:v>Учёт расходов на дезинсекцию, приобретение приборов, спецодежды</c:v>
                </c:pt>
                <c:pt idx="2">
                  <c:v>Продление сроков представления отчетности</c:v>
                </c:pt>
                <c:pt idx="3">
                  <c:v>Учёт расходов на мед.изделия согласно перечню</c:v>
                </c:pt>
                <c:pt idx="4">
                  <c:v>Уплата авансовых платежей по налогу на прибыль, исходя из фактической прибыли</c:v>
                </c:pt>
              </c:strCache>
            </c:strRef>
          </c:cat>
          <c:val>
            <c:numRef>
              <c:f>Лист1!$B$2:$B$6</c:f>
              <c:numCache>
                <c:formatCode>###0.0%</c:formatCode>
                <c:ptCount val="5"/>
                <c:pt idx="0">
                  <c:v>8.6000000000000021E-2</c:v>
                </c:pt>
                <c:pt idx="1">
                  <c:v>0.10400000000000002</c:v>
                </c:pt>
                <c:pt idx="2">
                  <c:v>0.14400000000000004</c:v>
                </c:pt>
                <c:pt idx="3">
                  <c:v>0.18800000000000022</c:v>
                </c:pt>
                <c:pt idx="4">
                  <c:v>0.13</c:v>
                </c:pt>
              </c:numCache>
            </c:numRef>
          </c:val>
          <c:extLst>
            <c:ext xmlns:c16="http://schemas.microsoft.com/office/drawing/2014/chart" uri="{C3380CC4-5D6E-409C-BE32-E72D297353CC}">
              <c16:uniqueId val="{00000000-D744-43FD-868F-A1DFE46A8765}"/>
            </c:ext>
          </c:extLst>
        </c:ser>
        <c:ser>
          <c:idx val="1"/>
          <c:order val="1"/>
          <c:tx>
            <c:strRef>
              <c:f>Лист1!$C$1</c:f>
              <c:strCache>
                <c:ptCount val="1"/>
                <c:pt idx="0">
                  <c:v>затраты на администрирование превышают выгоды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Продление сроков ответов на налоговые требования</c:v>
                </c:pt>
                <c:pt idx="1">
                  <c:v>Учёт расходов на дезинсекцию, приобретение приборов, спецодежды</c:v>
                </c:pt>
                <c:pt idx="2">
                  <c:v>Продление сроков представления отчетности</c:v>
                </c:pt>
                <c:pt idx="3">
                  <c:v>Учёт расходов на мед.изделия согласно перечню</c:v>
                </c:pt>
                <c:pt idx="4">
                  <c:v>Уплата авансовых платежей по налогу на прибыль, исходя из фактической прибыли</c:v>
                </c:pt>
              </c:strCache>
            </c:strRef>
          </c:cat>
          <c:val>
            <c:numRef>
              <c:f>Лист1!$C$2:$C$6</c:f>
              <c:numCache>
                <c:formatCode>###0.0%</c:formatCode>
                <c:ptCount val="5"/>
                <c:pt idx="0">
                  <c:v>2.0000000000000011E-2</c:v>
                </c:pt>
                <c:pt idx="1">
                  <c:v>5.1999999999999998E-2</c:v>
                </c:pt>
                <c:pt idx="2">
                  <c:v>1.7000000000000001E-2</c:v>
                </c:pt>
                <c:pt idx="3">
                  <c:v>5.9000000000000066E-2</c:v>
                </c:pt>
                <c:pt idx="4">
                  <c:v>7.3999999999999996E-2</c:v>
                </c:pt>
              </c:numCache>
            </c:numRef>
          </c:val>
          <c:extLst>
            <c:ext xmlns:c16="http://schemas.microsoft.com/office/drawing/2014/chart" uri="{C3380CC4-5D6E-409C-BE32-E72D297353CC}">
              <c16:uniqueId val="{00000001-D744-43FD-868F-A1DFE46A8765}"/>
            </c:ext>
          </c:extLst>
        </c:ser>
        <c:ser>
          <c:idx val="2"/>
          <c:order val="2"/>
          <c:tx>
            <c:strRef>
              <c:f>Лист1!$D$1</c:f>
              <c:strCache>
                <c:ptCount val="1"/>
                <c:pt idx="0">
                  <c:v>компания не соответствует требованиям (2)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Продление сроков ответов на налоговые требования</c:v>
                </c:pt>
                <c:pt idx="1">
                  <c:v>Учёт расходов на дезинсекцию, приобретение приборов, спецодежды</c:v>
                </c:pt>
                <c:pt idx="2">
                  <c:v>Продление сроков представления отчетности</c:v>
                </c:pt>
                <c:pt idx="3">
                  <c:v>Учёт расходов на мед.изделия согласно перечню</c:v>
                </c:pt>
                <c:pt idx="4">
                  <c:v>Уплата авансовых платежей по налогу на прибыль, исходя из фактической прибыли</c:v>
                </c:pt>
              </c:strCache>
            </c:strRef>
          </c:cat>
          <c:val>
            <c:numRef>
              <c:f>Лист1!$D$2:$D$6</c:f>
              <c:numCache>
                <c:formatCode>###0.0%</c:formatCode>
                <c:ptCount val="5"/>
                <c:pt idx="0">
                  <c:v>4.0000000000000022E-2</c:v>
                </c:pt>
                <c:pt idx="1">
                  <c:v>1.4E-2</c:v>
                </c:pt>
                <c:pt idx="2">
                  <c:v>5.1000000000000004E-2</c:v>
                </c:pt>
                <c:pt idx="3">
                  <c:v>3.0000000000000002E-2</c:v>
                </c:pt>
                <c:pt idx="4">
                  <c:v>5.6000000000000001E-2</c:v>
                </c:pt>
              </c:numCache>
            </c:numRef>
          </c:val>
          <c:extLst>
            <c:ext xmlns:c16="http://schemas.microsoft.com/office/drawing/2014/chart" uri="{C3380CC4-5D6E-409C-BE32-E72D297353CC}">
              <c16:uniqueId val="{00000002-D744-43FD-868F-A1DFE46A8765}"/>
            </c:ext>
          </c:extLst>
        </c:ser>
        <c:dLbls>
          <c:showLegendKey val="0"/>
          <c:showVal val="0"/>
          <c:showCatName val="0"/>
          <c:showSerName val="0"/>
          <c:showPercent val="0"/>
          <c:showBubbleSize val="0"/>
        </c:dLbls>
        <c:gapWidth val="75"/>
        <c:overlap val="100"/>
        <c:axId val="505904128"/>
        <c:axId val="505914112"/>
      </c:barChart>
      <c:catAx>
        <c:axId val="505904128"/>
        <c:scaling>
          <c:orientation val="maxMin"/>
        </c:scaling>
        <c:delete val="0"/>
        <c:axPos val="l"/>
        <c:numFmt formatCode="General" sourceLinked="0"/>
        <c:majorTickMark val="none"/>
        <c:minorTickMark val="none"/>
        <c:tickLblPos val="nextTo"/>
        <c:crossAx val="505914112"/>
        <c:crosses val="autoZero"/>
        <c:auto val="1"/>
        <c:lblAlgn val="ctr"/>
        <c:lblOffset val="100"/>
        <c:noMultiLvlLbl val="0"/>
      </c:catAx>
      <c:valAx>
        <c:axId val="505914112"/>
        <c:scaling>
          <c:orientation val="minMax"/>
        </c:scaling>
        <c:delete val="0"/>
        <c:axPos val="t"/>
        <c:numFmt formatCode="###0.0%" sourceLinked="1"/>
        <c:majorTickMark val="none"/>
        <c:minorTickMark val="none"/>
        <c:tickLblPos val="none"/>
        <c:crossAx val="505904128"/>
        <c:crosses val="autoZero"/>
        <c:crossBetween val="between"/>
      </c:valAx>
    </c:plotArea>
    <c:legend>
      <c:legendPos val="b"/>
      <c:layout>
        <c:manualLayout>
          <c:xMode val="edge"/>
          <c:yMode val="edge"/>
          <c:x val="9.5495285311558251E-2"/>
          <c:y val="0.78894044494438265"/>
          <c:w val="0.84104784003449018"/>
          <c:h val="0.18725003124609452"/>
        </c:manualLayout>
      </c:layout>
      <c:overlay val="0"/>
    </c:legend>
    <c:plotVisOnly val="1"/>
    <c:dispBlanksAs val="gap"/>
    <c:showDLblsOverMax val="0"/>
  </c:chart>
  <c:txPr>
    <a:bodyPr/>
    <a:lstStyle/>
    <a:p>
      <a:pPr>
        <a:defRPr>
          <a:latin typeface="Garamond" pitchFamily="18" charset="0"/>
        </a:defRPr>
      </a:pPr>
      <a:endParaRPr lang="ru-RU"/>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sz="1400"/>
            </a:pPr>
            <a:r>
              <a:rPr lang="ru-RU" sz="1400" b="1" i="0" baseline="0"/>
              <a:t>Мера для компаний-субъектов МСП:</a:t>
            </a:r>
          </a:p>
          <a:p>
            <a:pPr>
              <a:defRPr sz="1400"/>
            </a:pPr>
            <a:r>
              <a:rPr lang="ru-RU" sz="1400" b="1" i="0" baseline="0"/>
              <a:t>соотношение положительных и негативных оценок</a:t>
            </a:r>
          </a:p>
        </c:rich>
      </c:tx>
      <c:layout>
        <c:manualLayout>
          <c:xMode val="edge"/>
          <c:yMode val="edge"/>
          <c:x val="0.15704477036217163"/>
          <c:y val="0"/>
        </c:manualLayout>
      </c:layout>
      <c:overlay val="0"/>
    </c:title>
    <c:autoTitleDeleted val="0"/>
    <c:plotArea>
      <c:layout>
        <c:manualLayout>
          <c:layoutTarget val="inner"/>
          <c:xMode val="edge"/>
          <c:yMode val="edge"/>
          <c:x val="0.49095999023638881"/>
          <c:y val="0.20839601049868769"/>
          <c:w val="0.48561070967144687"/>
          <c:h val="0.54865763779527565"/>
        </c:manualLayout>
      </c:layout>
      <c:barChart>
        <c:barDir val="bar"/>
        <c:grouping val="stacked"/>
        <c:varyColors val="0"/>
        <c:ser>
          <c:idx val="0"/>
          <c:order val="0"/>
          <c:tx>
            <c:strRef>
              <c:f>Лист1!$B$1</c:f>
              <c:strCache>
                <c:ptCount val="1"/>
                <c:pt idx="0">
                  <c:v>мера полностью устраивает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Отсрочка по уплате налогов, авансовых платежей по налогам и страховым взносам</c:v>
                </c:pt>
                <c:pt idx="1">
                  <c:v>Освобождение от налогов доходов в виде субсидий</c:v>
                </c:pt>
                <c:pt idx="2">
                  <c:v>Применение пониженных ставок страховых взносов</c:v>
                </c:pt>
              </c:strCache>
            </c:strRef>
          </c:cat>
          <c:val>
            <c:numRef>
              <c:f>Лист1!$B$2:$B$4</c:f>
              <c:numCache>
                <c:formatCode>###0.0%</c:formatCode>
                <c:ptCount val="3"/>
                <c:pt idx="0">
                  <c:v>0.33300000000000052</c:v>
                </c:pt>
                <c:pt idx="1">
                  <c:v>0.14300000000000004</c:v>
                </c:pt>
                <c:pt idx="2">
                  <c:v>0.72700000000000065</c:v>
                </c:pt>
              </c:numCache>
            </c:numRef>
          </c:val>
          <c:extLst>
            <c:ext xmlns:c16="http://schemas.microsoft.com/office/drawing/2014/chart" uri="{C3380CC4-5D6E-409C-BE32-E72D297353CC}">
              <c16:uniqueId val="{00000000-C66A-446E-AAC5-02673B36BC04}"/>
            </c:ext>
          </c:extLst>
        </c:ser>
        <c:ser>
          <c:idx val="1"/>
          <c:order val="1"/>
          <c:tx>
            <c:strRef>
              <c:f>Лист1!$C$1</c:f>
              <c:strCache>
                <c:ptCount val="1"/>
                <c:pt idx="0">
                  <c:v>мера не может помочь компании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Отсрочка по уплате налогов, авансовых платежей по налогам и страховым взносам</c:v>
                </c:pt>
                <c:pt idx="1">
                  <c:v>Освобождение от налогов доходов в виде субсидий</c:v>
                </c:pt>
                <c:pt idx="2">
                  <c:v>Применение пониженных ставок страховых взносов</c:v>
                </c:pt>
              </c:strCache>
            </c:strRef>
          </c:cat>
          <c:val>
            <c:numRef>
              <c:f>Лист1!$C$2:$C$4</c:f>
              <c:numCache>
                <c:formatCode>###0.0%</c:formatCode>
                <c:ptCount val="3"/>
                <c:pt idx="0">
                  <c:v>0.33300000000000052</c:v>
                </c:pt>
                <c:pt idx="1">
                  <c:v>0.42900000000000038</c:v>
                </c:pt>
                <c:pt idx="2">
                  <c:v>7.3000000000000009E-2</c:v>
                </c:pt>
              </c:numCache>
            </c:numRef>
          </c:val>
          <c:extLst>
            <c:ext xmlns:c16="http://schemas.microsoft.com/office/drawing/2014/chart" uri="{C3380CC4-5D6E-409C-BE32-E72D297353CC}">
              <c16:uniqueId val="{00000001-C66A-446E-AAC5-02673B36BC04}"/>
            </c:ext>
          </c:extLst>
        </c:ser>
        <c:dLbls>
          <c:showLegendKey val="0"/>
          <c:showVal val="0"/>
          <c:showCatName val="0"/>
          <c:showSerName val="0"/>
          <c:showPercent val="0"/>
          <c:showBubbleSize val="0"/>
        </c:dLbls>
        <c:gapWidth val="75"/>
        <c:overlap val="100"/>
        <c:axId val="505932416"/>
        <c:axId val="505995648"/>
      </c:barChart>
      <c:catAx>
        <c:axId val="505932416"/>
        <c:scaling>
          <c:orientation val="maxMin"/>
        </c:scaling>
        <c:delete val="0"/>
        <c:axPos val="l"/>
        <c:numFmt formatCode="General" sourceLinked="0"/>
        <c:majorTickMark val="none"/>
        <c:minorTickMark val="none"/>
        <c:tickLblPos val="nextTo"/>
        <c:crossAx val="505995648"/>
        <c:crosses val="autoZero"/>
        <c:auto val="1"/>
        <c:lblAlgn val="ctr"/>
        <c:lblOffset val="100"/>
        <c:noMultiLvlLbl val="0"/>
      </c:catAx>
      <c:valAx>
        <c:axId val="505995648"/>
        <c:scaling>
          <c:orientation val="minMax"/>
        </c:scaling>
        <c:delete val="0"/>
        <c:axPos val="t"/>
        <c:numFmt formatCode="###0.0%" sourceLinked="1"/>
        <c:majorTickMark val="none"/>
        <c:minorTickMark val="none"/>
        <c:tickLblPos val="none"/>
        <c:crossAx val="505932416"/>
        <c:crosses val="autoZero"/>
        <c:crossBetween val="between"/>
      </c:valAx>
    </c:plotArea>
    <c:legend>
      <c:legendPos val="b"/>
      <c:layout>
        <c:manualLayout>
          <c:xMode val="edge"/>
          <c:yMode val="edge"/>
          <c:x val="9.5495355972005591E-2"/>
          <c:y val="0.77803380577427861"/>
          <c:w val="0.83218591262409902"/>
          <c:h val="0.15796619422572231"/>
        </c:manualLayout>
      </c:layout>
      <c:overlay val="0"/>
    </c:legend>
    <c:plotVisOnly val="1"/>
    <c:dispBlanksAs val="gap"/>
    <c:showDLblsOverMax val="0"/>
  </c:chart>
  <c:txPr>
    <a:bodyPr/>
    <a:lstStyle/>
    <a:p>
      <a:pPr>
        <a:defRPr>
          <a:latin typeface="Garamond" pitchFamily="18" charset="0"/>
        </a:defRPr>
      </a:pPr>
      <a:endParaRPr lang="ru-RU"/>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sz="1400"/>
            </a:pPr>
            <a:r>
              <a:rPr lang="ru-RU" sz="1400" b="1" i="0" baseline="0"/>
              <a:t>Мера для компаний из наиболее пострадавших отраслей: соотношение положительных и негативных оценок</a:t>
            </a:r>
          </a:p>
        </c:rich>
      </c:tx>
      <c:layout>
        <c:manualLayout>
          <c:xMode val="edge"/>
          <c:yMode val="edge"/>
          <c:x val="0.15704477036217152"/>
          <c:y val="0"/>
        </c:manualLayout>
      </c:layout>
      <c:overlay val="0"/>
    </c:title>
    <c:autoTitleDeleted val="0"/>
    <c:plotArea>
      <c:layout>
        <c:manualLayout>
          <c:layoutTarget val="inner"/>
          <c:xMode val="edge"/>
          <c:yMode val="edge"/>
          <c:x val="0.48240841353943587"/>
          <c:y val="0.20839601049868769"/>
          <c:w val="0.49416228636839982"/>
          <c:h val="0.54865763779527565"/>
        </c:manualLayout>
      </c:layout>
      <c:barChart>
        <c:barDir val="bar"/>
        <c:grouping val="stacked"/>
        <c:varyColors val="0"/>
        <c:ser>
          <c:idx val="0"/>
          <c:order val="0"/>
          <c:tx>
            <c:strRef>
              <c:f>Лист1!$B$1</c:f>
              <c:strCache>
                <c:ptCount val="1"/>
                <c:pt idx="0">
                  <c:v>мера полностью устраивает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Отсрочка по уплате налогов, авансовых платежей по налогам и страховым взносам</c:v>
                </c:pt>
              </c:strCache>
            </c:strRef>
          </c:cat>
          <c:val>
            <c:numRef>
              <c:f>Лист1!$B$2</c:f>
              <c:numCache>
                <c:formatCode>###0.0%</c:formatCode>
                <c:ptCount val="1"/>
                <c:pt idx="0">
                  <c:v>0.60700000000000065</c:v>
                </c:pt>
              </c:numCache>
            </c:numRef>
          </c:val>
          <c:extLst>
            <c:ext xmlns:c16="http://schemas.microsoft.com/office/drawing/2014/chart" uri="{C3380CC4-5D6E-409C-BE32-E72D297353CC}">
              <c16:uniqueId val="{00000000-E689-4F5B-BBE6-120E8FF08218}"/>
            </c:ext>
          </c:extLst>
        </c:ser>
        <c:ser>
          <c:idx val="1"/>
          <c:order val="1"/>
          <c:tx>
            <c:strRef>
              <c:f>Лист1!$C$1</c:f>
              <c:strCache>
                <c:ptCount val="1"/>
                <c:pt idx="0">
                  <c:v>мера не может помочь компании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Отсрочка по уплате налогов, авансовых платежей по налогам и страховым взносам</c:v>
                </c:pt>
              </c:strCache>
            </c:strRef>
          </c:cat>
          <c:val>
            <c:numRef>
              <c:f>Лист1!$C$2</c:f>
              <c:numCache>
                <c:formatCode>###0.0%</c:formatCode>
                <c:ptCount val="1"/>
                <c:pt idx="0">
                  <c:v>0.14300000000000004</c:v>
                </c:pt>
              </c:numCache>
            </c:numRef>
          </c:val>
          <c:extLst>
            <c:ext xmlns:c16="http://schemas.microsoft.com/office/drawing/2014/chart" uri="{C3380CC4-5D6E-409C-BE32-E72D297353CC}">
              <c16:uniqueId val="{00000001-E689-4F5B-BBE6-120E8FF08218}"/>
            </c:ext>
          </c:extLst>
        </c:ser>
        <c:dLbls>
          <c:showLegendKey val="0"/>
          <c:showVal val="0"/>
          <c:showCatName val="0"/>
          <c:showSerName val="0"/>
          <c:showPercent val="0"/>
          <c:showBubbleSize val="0"/>
        </c:dLbls>
        <c:gapWidth val="75"/>
        <c:overlap val="100"/>
        <c:axId val="506050816"/>
        <c:axId val="506073088"/>
      </c:barChart>
      <c:catAx>
        <c:axId val="506050816"/>
        <c:scaling>
          <c:orientation val="maxMin"/>
        </c:scaling>
        <c:delete val="0"/>
        <c:axPos val="l"/>
        <c:numFmt formatCode="General" sourceLinked="0"/>
        <c:majorTickMark val="none"/>
        <c:minorTickMark val="none"/>
        <c:tickLblPos val="nextTo"/>
        <c:crossAx val="506073088"/>
        <c:crosses val="autoZero"/>
        <c:auto val="1"/>
        <c:lblAlgn val="ctr"/>
        <c:lblOffset val="100"/>
        <c:noMultiLvlLbl val="0"/>
      </c:catAx>
      <c:valAx>
        <c:axId val="506073088"/>
        <c:scaling>
          <c:orientation val="minMax"/>
        </c:scaling>
        <c:delete val="0"/>
        <c:axPos val="t"/>
        <c:numFmt formatCode="###0.0%" sourceLinked="1"/>
        <c:majorTickMark val="none"/>
        <c:minorTickMark val="none"/>
        <c:tickLblPos val="none"/>
        <c:crossAx val="506050816"/>
        <c:crosses val="autoZero"/>
        <c:crossBetween val="between"/>
      </c:valAx>
    </c:plotArea>
    <c:legend>
      <c:legendPos val="b"/>
      <c:layout>
        <c:manualLayout>
          <c:xMode val="edge"/>
          <c:yMode val="edge"/>
          <c:x val="9.5495355972005549E-2"/>
          <c:y val="0.77803380577427861"/>
          <c:w val="0.83218591262409847"/>
          <c:h val="0.15796619422572217"/>
        </c:manualLayout>
      </c:layout>
      <c:overlay val="0"/>
    </c:legend>
    <c:plotVisOnly val="1"/>
    <c:dispBlanksAs val="gap"/>
    <c:showDLblsOverMax val="0"/>
  </c:chart>
  <c:txPr>
    <a:bodyPr/>
    <a:lstStyle/>
    <a:p>
      <a:pPr>
        <a:defRPr>
          <a:latin typeface="Garamond" pitchFamily="18" charset="0"/>
        </a:defRPr>
      </a:pPr>
      <a:endParaRPr lang="ru-RU"/>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sz="1200"/>
            </a:pPr>
            <a:r>
              <a:rPr lang="ru-RU" sz="1200"/>
              <a:t>Оценка мер: приостановление</a:t>
            </a:r>
            <a:r>
              <a:rPr lang="ru-RU" sz="1200" baseline="0"/>
              <a:t> проверок и вынесения решений / санкций со стороны налоговых органов</a:t>
            </a:r>
            <a:endParaRPr lang="ru-RU" sz="1200"/>
          </a:p>
        </c:rich>
      </c:tx>
      <c:overlay val="0"/>
    </c:title>
    <c:autoTitleDeleted val="0"/>
    <c:plotArea>
      <c:layout>
        <c:manualLayout>
          <c:layoutTarget val="inner"/>
          <c:xMode val="edge"/>
          <c:yMode val="edge"/>
          <c:x val="0"/>
          <c:y val="0.16750493397627644"/>
          <c:w val="1"/>
          <c:h val="0.53275346395654033"/>
        </c:manualLayout>
      </c:layout>
      <c:barChart>
        <c:barDir val="bar"/>
        <c:grouping val="percentStacked"/>
        <c:varyColors val="0"/>
        <c:ser>
          <c:idx val="0"/>
          <c:order val="0"/>
          <c:tx>
            <c:strRef>
              <c:f>Лист1!$B$1</c:f>
              <c:strCache>
                <c:ptCount val="1"/>
                <c:pt idx="0">
                  <c:v>1 - меры не оказывают никакого влияния на работу</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###0.0%</c:formatCode>
                <c:ptCount val="1"/>
                <c:pt idx="0">
                  <c:v>0.16500000000000001</c:v>
                </c:pt>
              </c:numCache>
            </c:numRef>
          </c:val>
          <c:extLst>
            <c:ext xmlns:c16="http://schemas.microsoft.com/office/drawing/2014/chart" uri="{C3380CC4-5D6E-409C-BE32-E72D297353CC}">
              <c16:uniqueId val="{00000000-B497-4BF1-8B8A-8557915BB47C}"/>
            </c:ext>
          </c:extLst>
        </c:ser>
        <c:ser>
          <c:idx val="1"/>
          <c:order val="1"/>
          <c:tx>
            <c:strRef>
              <c:f>Лист1!$C$1</c:f>
              <c:strCache>
                <c:ptCount val="1"/>
                <c:pt idx="0">
                  <c:v>2 - меры скорее не помогают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###0.0%</c:formatCode>
                <c:ptCount val="1"/>
                <c:pt idx="0">
                  <c:v>7.5000000000000011E-2</c:v>
                </c:pt>
              </c:numCache>
            </c:numRef>
          </c:val>
          <c:extLst>
            <c:ext xmlns:c16="http://schemas.microsoft.com/office/drawing/2014/chart" uri="{C3380CC4-5D6E-409C-BE32-E72D297353CC}">
              <c16:uniqueId val="{00000001-B497-4BF1-8B8A-8557915BB47C}"/>
            </c:ext>
          </c:extLst>
        </c:ser>
        <c:ser>
          <c:idx val="2"/>
          <c:order val="2"/>
          <c:tx>
            <c:strRef>
              <c:f>Лист1!$D$1</c:f>
              <c:strCache>
                <c:ptCount val="1"/>
                <c:pt idx="0">
                  <c:v>3 - средне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Лист1!$D$2</c:f>
              <c:numCache>
                <c:formatCode>###0.0%</c:formatCode>
                <c:ptCount val="1"/>
                <c:pt idx="0">
                  <c:v>0.17400000000000004</c:v>
                </c:pt>
              </c:numCache>
            </c:numRef>
          </c:val>
          <c:extLst>
            <c:ext xmlns:c16="http://schemas.microsoft.com/office/drawing/2014/chart" uri="{C3380CC4-5D6E-409C-BE32-E72D297353CC}">
              <c16:uniqueId val="{00000002-B497-4BF1-8B8A-8557915BB47C}"/>
            </c:ext>
          </c:extLst>
        </c:ser>
        <c:ser>
          <c:idx val="3"/>
          <c:order val="3"/>
          <c:tx>
            <c:strRef>
              <c:f>Лист1!$E$1</c:f>
              <c:strCache>
                <c:ptCount val="1"/>
                <c:pt idx="0">
                  <c:v>4 - скорее помогают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Лист1!$E$2</c:f>
              <c:numCache>
                <c:formatCode>###0.0%</c:formatCode>
                <c:ptCount val="1"/>
                <c:pt idx="0">
                  <c:v>0.1090000000000001</c:v>
                </c:pt>
              </c:numCache>
            </c:numRef>
          </c:val>
          <c:extLst>
            <c:ext xmlns:c16="http://schemas.microsoft.com/office/drawing/2014/chart" uri="{C3380CC4-5D6E-409C-BE32-E72D297353CC}">
              <c16:uniqueId val="{00000003-B497-4BF1-8B8A-8557915BB47C}"/>
            </c:ext>
          </c:extLst>
        </c:ser>
        <c:ser>
          <c:idx val="4"/>
          <c:order val="4"/>
          <c:tx>
            <c:strRef>
              <c:f>Лист1!$F$1</c:f>
              <c:strCache>
                <c:ptCount val="1"/>
                <c:pt idx="0">
                  <c:v>5 - меры очень помогают компаниям</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Лист1!$F$2</c:f>
              <c:numCache>
                <c:formatCode>###0.0%</c:formatCode>
                <c:ptCount val="1"/>
                <c:pt idx="0">
                  <c:v>0.47700000000000031</c:v>
                </c:pt>
              </c:numCache>
            </c:numRef>
          </c:val>
          <c:extLst>
            <c:ext xmlns:c16="http://schemas.microsoft.com/office/drawing/2014/chart" uri="{C3380CC4-5D6E-409C-BE32-E72D297353CC}">
              <c16:uniqueId val="{00000004-B497-4BF1-8B8A-8557915BB47C}"/>
            </c:ext>
          </c:extLst>
        </c:ser>
        <c:dLbls>
          <c:showLegendKey val="0"/>
          <c:showVal val="1"/>
          <c:showCatName val="0"/>
          <c:showSerName val="0"/>
          <c:showPercent val="0"/>
          <c:showBubbleSize val="0"/>
        </c:dLbls>
        <c:gapWidth val="95"/>
        <c:overlap val="100"/>
        <c:axId val="506731136"/>
        <c:axId val="506745216"/>
      </c:barChart>
      <c:catAx>
        <c:axId val="506731136"/>
        <c:scaling>
          <c:orientation val="minMax"/>
        </c:scaling>
        <c:delete val="1"/>
        <c:axPos val="l"/>
        <c:numFmt formatCode="General" sourceLinked="0"/>
        <c:majorTickMark val="none"/>
        <c:minorTickMark val="none"/>
        <c:tickLblPos val="none"/>
        <c:crossAx val="506745216"/>
        <c:crosses val="autoZero"/>
        <c:auto val="1"/>
        <c:lblAlgn val="ctr"/>
        <c:lblOffset val="100"/>
        <c:noMultiLvlLbl val="0"/>
      </c:catAx>
      <c:valAx>
        <c:axId val="506745216"/>
        <c:scaling>
          <c:orientation val="minMax"/>
        </c:scaling>
        <c:delete val="1"/>
        <c:axPos val="b"/>
        <c:numFmt formatCode="0%" sourceLinked="0"/>
        <c:majorTickMark val="out"/>
        <c:minorTickMark val="none"/>
        <c:tickLblPos val="none"/>
        <c:crossAx val="506731136"/>
        <c:crosses val="autoZero"/>
        <c:crossBetween val="between"/>
      </c:valAx>
    </c:plotArea>
    <c:legend>
      <c:legendPos val="t"/>
      <c:layout>
        <c:manualLayout>
          <c:xMode val="edge"/>
          <c:yMode val="edge"/>
          <c:x val="9.3994490358127236E-2"/>
          <c:y val="0.60723514211886365"/>
          <c:w val="0.67096401379580051"/>
          <c:h val="0.30962379702537274"/>
        </c:manualLayout>
      </c:layout>
      <c:overlay val="0"/>
      <c:txPr>
        <a:bodyPr/>
        <a:lstStyle/>
        <a:p>
          <a:pPr>
            <a:defRPr sz="1100"/>
          </a:pPr>
          <a:endParaRPr lang="ru-RU"/>
        </a:p>
      </c:txPr>
    </c:legend>
    <c:plotVisOnly val="1"/>
    <c:dispBlanksAs val="gap"/>
    <c:showDLblsOverMax val="0"/>
  </c:chart>
  <c:txPr>
    <a:bodyPr/>
    <a:lstStyle/>
    <a:p>
      <a:pPr>
        <a:defRPr>
          <a:latin typeface="Garamond" pitchFamily="18" charset="0"/>
        </a:defRPr>
      </a:pPr>
      <a:endParaRPr lang="ru-RU"/>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t>Доля компаний, не знакомых с содержанием финансовых мер</a:t>
            </a:r>
          </a:p>
        </c:rich>
      </c:tx>
      <c:overlay val="0"/>
    </c:title>
    <c:autoTitleDeleted val="0"/>
    <c:plotArea>
      <c:layout>
        <c:manualLayout>
          <c:layoutTarget val="inner"/>
          <c:xMode val="edge"/>
          <c:yMode val="edge"/>
          <c:x val="0.48306872622619346"/>
          <c:y val="0.15583519273205607"/>
          <c:w val="0.51693127377380665"/>
          <c:h val="0.83004812922974791"/>
        </c:manualLayout>
      </c:layout>
      <c:barChart>
        <c:barDir val="bar"/>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Беспроцентный кредит на неотложные нужды для сохранения занятости</c:v>
                </c:pt>
                <c:pt idx="1">
                  <c:v>Субсидии предприятиям МСП из перечня отраслей - 12130 рублей на сотрудника</c:v>
                </c:pt>
                <c:pt idx="2">
                  <c:v>Изменение условий кредитных договоров - приостановление выплат для субъектов МСП из наиболее пострадавших отраслей</c:v>
                </c:pt>
                <c:pt idx="3">
                  <c:v>Получение кредита на пополнение оборотных средств </c:v>
                </c:pt>
                <c:pt idx="4">
                  <c:v>Субсидирование ставок по кредитам на проекты жилищного строительства</c:v>
                </c:pt>
                <c:pt idx="5">
                  <c:v>Упрощённая программа субсидирования по кредитам МСП</c:v>
                </c:pt>
                <c:pt idx="6">
                  <c:v>Дистанционное открытие счетов </c:v>
                </c:pt>
                <c:pt idx="7">
                  <c:v>Осуществление реструктуризации кредита кредитной организации</c:v>
                </c:pt>
              </c:strCache>
            </c:strRef>
          </c:cat>
          <c:val>
            <c:numRef>
              <c:f>Лист1!$B$2:$B$9</c:f>
              <c:numCache>
                <c:formatCode>###0.0%</c:formatCode>
                <c:ptCount val="8"/>
                <c:pt idx="0">
                  <c:v>2.1390374331550801E-2</c:v>
                </c:pt>
                <c:pt idx="1">
                  <c:v>2.2598870056497179E-2</c:v>
                </c:pt>
                <c:pt idx="2">
                  <c:v>2.777777777777779E-2</c:v>
                </c:pt>
                <c:pt idx="3">
                  <c:v>3.1746031746031744E-2</c:v>
                </c:pt>
                <c:pt idx="4">
                  <c:v>0.05</c:v>
                </c:pt>
                <c:pt idx="5">
                  <c:v>5.6497175141242958E-2</c:v>
                </c:pt>
                <c:pt idx="6">
                  <c:v>6.4864864864864882E-2</c:v>
                </c:pt>
                <c:pt idx="7">
                  <c:v>8.1081081081081086E-2</c:v>
                </c:pt>
              </c:numCache>
            </c:numRef>
          </c:val>
          <c:extLst>
            <c:ext xmlns:c16="http://schemas.microsoft.com/office/drawing/2014/chart" uri="{C3380CC4-5D6E-409C-BE32-E72D297353CC}">
              <c16:uniqueId val="{00000000-F761-4FE4-A34E-B31553311C5A}"/>
            </c:ext>
          </c:extLst>
        </c:ser>
        <c:dLbls>
          <c:showLegendKey val="0"/>
          <c:showVal val="0"/>
          <c:showCatName val="0"/>
          <c:showSerName val="0"/>
          <c:showPercent val="0"/>
          <c:showBubbleSize val="0"/>
        </c:dLbls>
        <c:gapWidth val="75"/>
        <c:axId val="133173248"/>
        <c:axId val="133174784"/>
      </c:barChart>
      <c:catAx>
        <c:axId val="133173248"/>
        <c:scaling>
          <c:orientation val="minMax"/>
        </c:scaling>
        <c:delete val="0"/>
        <c:axPos val="l"/>
        <c:numFmt formatCode="General" sourceLinked="0"/>
        <c:majorTickMark val="out"/>
        <c:minorTickMark val="none"/>
        <c:tickLblPos val="nextTo"/>
        <c:crossAx val="133174784"/>
        <c:crosses val="autoZero"/>
        <c:auto val="1"/>
        <c:lblAlgn val="ctr"/>
        <c:lblOffset val="100"/>
        <c:noMultiLvlLbl val="0"/>
      </c:catAx>
      <c:valAx>
        <c:axId val="133174784"/>
        <c:scaling>
          <c:orientation val="minMax"/>
        </c:scaling>
        <c:delete val="1"/>
        <c:axPos val="b"/>
        <c:numFmt formatCode="###0.0%" sourceLinked="1"/>
        <c:majorTickMark val="out"/>
        <c:minorTickMark val="none"/>
        <c:tickLblPos val="none"/>
        <c:crossAx val="133173248"/>
        <c:crosses val="autoZero"/>
        <c:crossBetween val="between"/>
      </c:valAx>
    </c:plotArea>
    <c:plotVisOnly val="1"/>
    <c:dispBlanksAs val="gap"/>
    <c:showDLblsOverMax val="0"/>
  </c:chart>
  <c:txPr>
    <a:bodyPr/>
    <a:lstStyle/>
    <a:p>
      <a:pPr>
        <a:defRPr>
          <a:latin typeface="Garamond" pitchFamily="18" charset="0"/>
        </a:defRPr>
      </a:pPr>
      <a:endParaRPr lang="ru-RU"/>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sz="1400"/>
            </a:pPr>
            <a:r>
              <a:rPr lang="ru-RU" sz="1400"/>
              <a:t>Финансовые меры</a:t>
            </a:r>
          </a:p>
        </c:rich>
      </c:tx>
      <c:overlay val="0"/>
    </c:title>
    <c:autoTitleDeleted val="0"/>
    <c:plotArea>
      <c:layout>
        <c:manualLayout>
          <c:layoutTarget val="inner"/>
          <c:xMode val="edge"/>
          <c:yMode val="edge"/>
          <c:x val="0.50273708710939435"/>
          <c:y val="0.16275378050391404"/>
          <c:w val="0.47398241886430875"/>
          <c:h val="0.81653233170798922"/>
        </c:manualLayout>
      </c:layout>
      <c:barChart>
        <c:barDir val="bar"/>
        <c:grouping val="percentStacked"/>
        <c:varyColors val="0"/>
        <c:ser>
          <c:idx val="0"/>
          <c:order val="0"/>
          <c:tx>
            <c:strRef>
              <c:f>Лист1!$B$1</c:f>
              <c:strCache>
                <c:ptCount val="1"/>
                <c:pt idx="0">
                  <c:v>Неприменимо, но нужно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Дистанционное открытие счетов </c:v>
                </c:pt>
                <c:pt idx="1">
                  <c:v>Субсидирование ставок по кредитам на проекты жилищного строительства</c:v>
                </c:pt>
                <c:pt idx="2">
                  <c:v>Осуществление реструктуризации кредита кредитной организации</c:v>
                </c:pt>
                <c:pt idx="3">
                  <c:v>Получение кредита на пополнение оборотных средств </c:v>
                </c:pt>
                <c:pt idx="4">
                  <c:v>Упрощённая программа субсидирования по кредитам МСП</c:v>
                </c:pt>
                <c:pt idx="5">
                  <c:v>Изменение условий кредитных договоров - приостановление выплат для субъектов МСП из наиболее пострадавших отраслей</c:v>
                </c:pt>
                <c:pt idx="6">
                  <c:v>Беспроцентный кредит на неотложные нужды для сохранения занятости</c:v>
                </c:pt>
                <c:pt idx="7">
                  <c:v>Субсидии предприятиям МСП из перечня отраслей - 12130 рублей на сотрудника</c:v>
                </c:pt>
              </c:strCache>
            </c:strRef>
          </c:cat>
          <c:val>
            <c:numRef>
              <c:f>Лист1!$B$2:$B$9</c:f>
              <c:numCache>
                <c:formatCode>###0.0%</c:formatCode>
                <c:ptCount val="8"/>
                <c:pt idx="0" formatCode="0.0%">
                  <c:v>8.7000000000000022E-2</c:v>
                </c:pt>
                <c:pt idx="1">
                  <c:v>0.17</c:v>
                </c:pt>
                <c:pt idx="2" formatCode="0%">
                  <c:v>0.2</c:v>
                </c:pt>
                <c:pt idx="3">
                  <c:v>0.32300000000000006</c:v>
                </c:pt>
                <c:pt idx="4">
                  <c:v>0.32300000000000006</c:v>
                </c:pt>
                <c:pt idx="5">
                  <c:v>0.32600000000000007</c:v>
                </c:pt>
                <c:pt idx="6">
                  <c:v>0.37158469945355205</c:v>
                </c:pt>
                <c:pt idx="7">
                  <c:v>0.45086705202312127</c:v>
                </c:pt>
              </c:numCache>
            </c:numRef>
          </c:val>
          <c:extLst>
            <c:ext xmlns:c16="http://schemas.microsoft.com/office/drawing/2014/chart" uri="{C3380CC4-5D6E-409C-BE32-E72D297353CC}">
              <c16:uniqueId val="{00000000-520B-4318-96C5-11CA07BBF888}"/>
            </c:ext>
          </c:extLst>
        </c:ser>
        <c:ser>
          <c:idx val="1"/>
          <c:order val="1"/>
          <c:tx>
            <c:strRef>
              <c:f>Лист1!$C$1</c:f>
              <c:strCache>
                <c:ptCount val="1"/>
                <c:pt idx="0">
                  <c:v>Не планирует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Дистанционное открытие счетов </c:v>
                </c:pt>
                <c:pt idx="1">
                  <c:v>Субсидирование ставок по кредитам на проекты жилищного строительства</c:v>
                </c:pt>
                <c:pt idx="2">
                  <c:v>Осуществление реструктуризации кредита кредитной организации</c:v>
                </c:pt>
                <c:pt idx="3">
                  <c:v>Получение кредита на пополнение оборотных средств </c:v>
                </c:pt>
                <c:pt idx="4">
                  <c:v>Упрощённая программа субсидирования по кредитам МСП</c:v>
                </c:pt>
                <c:pt idx="5">
                  <c:v>Изменение условий кредитных договоров - приостановление выплат для субъектов МСП из наиболее пострадавших отраслей</c:v>
                </c:pt>
                <c:pt idx="6">
                  <c:v>Беспроцентный кредит на неотложные нужды для сохранения занятости</c:v>
                </c:pt>
                <c:pt idx="7">
                  <c:v>Субсидии предприятиям МСП из перечня отраслей - 12130 рублей на сотрудника</c:v>
                </c:pt>
              </c:strCache>
            </c:strRef>
          </c:cat>
          <c:val>
            <c:numRef>
              <c:f>Лист1!$C$2:$C$9</c:f>
              <c:numCache>
                <c:formatCode>###0.0%</c:formatCode>
                <c:ptCount val="8"/>
                <c:pt idx="0">
                  <c:v>0.75700000000000012</c:v>
                </c:pt>
                <c:pt idx="1">
                  <c:v>0.78400000000000003</c:v>
                </c:pt>
                <c:pt idx="2">
                  <c:v>0.71200000000000008</c:v>
                </c:pt>
                <c:pt idx="3">
                  <c:v>0.4860000000000001</c:v>
                </c:pt>
                <c:pt idx="4">
                  <c:v>0.6170000000000001</c:v>
                </c:pt>
                <c:pt idx="5">
                  <c:v>0.60600000000000009</c:v>
                </c:pt>
                <c:pt idx="6">
                  <c:v>0.54644808743169404</c:v>
                </c:pt>
                <c:pt idx="7">
                  <c:v>0.503</c:v>
                </c:pt>
              </c:numCache>
            </c:numRef>
          </c:val>
          <c:extLst>
            <c:ext xmlns:c16="http://schemas.microsoft.com/office/drawing/2014/chart" uri="{C3380CC4-5D6E-409C-BE32-E72D297353CC}">
              <c16:uniqueId val="{00000001-520B-4318-96C5-11CA07BBF888}"/>
            </c:ext>
          </c:extLst>
        </c:ser>
        <c:ser>
          <c:idx val="2"/>
          <c:order val="2"/>
          <c:tx>
            <c:strRef>
              <c:f>Лист1!$D$1</c:f>
              <c:strCache>
                <c:ptCount val="1"/>
                <c:pt idx="0">
                  <c:v>Обращались / в планах</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Дистанционное открытие счетов </c:v>
                </c:pt>
                <c:pt idx="1">
                  <c:v>Субсидирование ставок по кредитам на проекты жилищного строительства</c:v>
                </c:pt>
                <c:pt idx="2">
                  <c:v>Осуществление реструктуризации кредита кредитной организации</c:v>
                </c:pt>
                <c:pt idx="3">
                  <c:v>Получение кредита на пополнение оборотных средств </c:v>
                </c:pt>
                <c:pt idx="4">
                  <c:v>Упрощённая программа субсидирования по кредитам МСП</c:v>
                </c:pt>
                <c:pt idx="5">
                  <c:v>Изменение условий кредитных договоров - приостановление выплат для субъектов МСП из наиболее пострадавших отраслей</c:v>
                </c:pt>
                <c:pt idx="6">
                  <c:v>Беспроцентный кредит на неотложные нужды для сохранения занятости</c:v>
                </c:pt>
                <c:pt idx="7">
                  <c:v>Субсидии предприятиям МСП из перечня отраслей - 12130 рублей на сотрудника</c:v>
                </c:pt>
              </c:strCache>
            </c:strRef>
          </c:cat>
          <c:val>
            <c:numRef>
              <c:f>Лист1!$D$2:$D$9</c:f>
              <c:numCache>
                <c:formatCode>###0.0%</c:formatCode>
                <c:ptCount val="8"/>
                <c:pt idx="0" formatCode="0.0%">
                  <c:v>0.15600000000000003</c:v>
                </c:pt>
                <c:pt idx="1">
                  <c:v>4.5999999999999999E-2</c:v>
                </c:pt>
                <c:pt idx="2" formatCode="0.0%">
                  <c:v>8.9000000000000037E-2</c:v>
                </c:pt>
                <c:pt idx="3">
                  <c:v>0.191</c:v>
                </c:pt>
                <c:pt idx="4">
                  <c:v>6.0000000000000005E-2</c:v>
                </c:pt>
                <c:pt idx="5">
                  <c:v>6.8000000000000019E-2</c:v>
                </c:pt>
                <c:pt idx="6">
                  <c:v>8.1967213114754106E-2</c:v>
                </c:pt>
                <c:pt idx="7">
                  <c:v>4.5999999999999999E-2</c:v>
                </c:pt>
              </c:numCache>
            </c:numRef>
          </c:val>
          <c:extLst>
            <c:ext xmlns:c16="http://schemas.microsoft.com/office/drawing/2014/chart" uri="{C3380CC4-5D6E-409C-BE32-E72D297353CC}">
              <c16:uniqueId val="{00000002-520B-4318-96C5-11CA07BBF888}"/>
            </c:ext>
          </c:extLst>
        </c:ser>
        <c:dLbls>
          <c:showLegendKey val="0"/>
          <c:showVal val="0"/>
          <c:showCatName val="0"/>
          <c:showSerName val="0"/>
          <c:showPercent val="0"/>
          <c:showBubbleSize val="0"/>
        </c:dLbls>
        <c:gapWidth val="75"/>
        <c:overlap val="100"/>
        <c:axId val="144792960"/>
        <c:axId val="144909440"/>
      </c:barChart>
      <c:catAx>
        <c:axId val="144792960"/>
        <c:scaling>
          <c:orientation val="minMax"/>
        </c:scaling>
        <c:delete val="0"/>
        <c:axPos val="l"/>
        <c:numFmt formatCode="General" sourceLinked="0"/>
        <c:majorTickMark val="none"/>
        <c:minorTickMark val="none"/>
        <c:tickLblPos val="nextTo"/>
        <c:crossAx val="144909440"/>
        <c:crosses val="autoZero"/>
        <c:auto val="1"/>
        <c:lblAlgn val="ctr"/>
        <c:lblOffset val="100"/>
        <c:noMultiLvlLbl val="0"/>
      </c:catAx>
      <c:valAx>
        <c:axId val="144909440"/>
        <c:scaling>
          <c:orientation val="minMax"/>
        </c:scaling>
        <c:delete val="0"/>
        <c:axPos val="b"/>
        <c:numFmt formatCode="0%" sourceLinked="1"/>
        <c:majorTickMark val="none"/>
        <c:minorTickMark val="none"/>
        <c:tickLblPos val="none"/>
        <c:crossAx val="144792960"/>
        <c:crosses val="autoZero"/>
        <c:crossBetween val="between"/>
      </c:valAx>
    </c:plotArea>
    <c:legend>
      <c:legendPos val="b"/>
      <c:layout>
        <c:manualLayout>
          <c:xMode val="edge"/>
          <c:yMode val="edge"/>
          <c:x val="0.30306244738275651"/>
          <c:y val="9.380037560950398E-2"/>
          <c:w val="0.68628501625976013"/>
          <c:h val="7.3340340116128819E-2"/>
        </c:manualLayout>
      </c:layout>
      <c:overlay val="0"/>
    </c:legend>
    <c:plotVisOnly val="1"/>
    <c:dispBlanksAs val="gap"/>
    <c:showDLblsOverMax val="0"/>
  </c:chart>
  <c:txPr>
    <a:bodyPr/>
    <a:lstStyle/>
    <a:p>
      <a:pPr>
        <a:defRPr>
          <a:latin typeface="Garamond"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474810440361734E-2"/>
          <c:y val="5.7330440229062404E-2"/>
          <c:w val="0.94905048633626676"/>
          <c:h val="0.6583263242662849"/>
        </c:manualLayout>
      </c:layout>
      <c:barChart>
        <c:barDir val="col"/>
        <c:grouping val="clustered"/>
        <c:varyColors val="0"/>
        <c:ser>
          <c:idx val="0"/>
          <c:order val="0"/>
          <c:tx>
            <c:strRef>
              <c:f>Лист1!$B$1</c:f>
              <c:strCache>
                <c:ptCount val="1"/>
                <c:pt idx="0">
                  <c:v>2018</c:v>
                </c:pt>
              </c:strCache>
            </c:strRef>
          </c:tx>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Не успешно</c:v>
                </c:pt>
                <c:pt idx="1">
                  <c:v>Не изменилось</c:v>
                </c:pt>
                <c:pt idx="2">
                  <c:v>Успешно</c:v>
                </c:pt>
              </c:strCache>
            </c:strRef>
          </c:cat>
          <c:val>
            <c:numRef>
              <c:f>Лист1!$B$2:$B$4</c:f>
              <c:numCache>
                <c:formatCode>General</c:formatCode>
                <c:ptCount val="3"/>
                <c:pt idx="0">
                  <c:v>23.2</c:v>
                </c:pt>
                <c:pt idx="1">
                  <c:v>28.8</c:v>
                </c:pt>
                <c:pt idx="2">
                  <c:v>48</c:v>
                </c:pt>
              </c:numCache>
            </c:numRef>
          </c:val>
          <c:extLst>
            <c:ext xmlns:c16="http://schemas.microsoft.com/office/drawing/2014/chart" uri="{C3380CC4-5D6E-409C-BE32-E72D297353CC}">
              <c16:uniqueId val="{00000000-229C-41EB-911E-E2AE52F60CAF}"/>
            </c:ext>
          </c:extLst>
        </c:ser>
        <c:ser>
          <c:idx val="1"/>
          <c:order val="1"/>
          <c:tx>
            <c:strRef>
              <c:f>Лист1!$C$1</c:f>
              <c:strCache>
                <c:ptCount val="1"/>
                <c:pt idx="0">
                  <c:v>2019</c:v>
                </c:pt>
              </c:strCache>
            </c:strRef>
          </c:tx>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Не успешно</c:v>
                </c:pt>
                <c:pt idx="1">
                  <c:v>Не изменилось</c:v>
                </c:pt>
                <c:pt idx="2">
                  <c:v>Успешно</c:v>
                </c:pt>
              </c:strCache>
            </c:strRef>
          </c:cat>
          <c:val>
            <c:numRef>
              <c:f>Лист1!$C$2:$C$4</c:f>
              <c:numCache>
                <c:formatCode>General</c:formatCode>
                <c:ptCount val="3"/>
                <c:pt idx="0">
                  <c:v>23.2</c:v>
                </c:pt>
                <c:pt idx="1">
                  <c:v>25</c:v>
                </c:pt>
                <c:pt idx="2">
                  <c:v>51.8</c:v>
                </c:pt>
              </c:numCache>
            </c:numRef>
          </c:val>
          <c:extLst>
            <c:ext xmlns:c16="http://schemas.microsoft.com/office/drawing/2014/chart" uri="{C3380CC4-5D6E-409C-BE32-E72D297353CC}">
              <c16:uniqueId val="{00000001-229C-41EB-911E-E2AE52F60CAF}"/>
            </c:ext>
          </c:extLst>
        </c:ser>
        <c:dLbls>
          <c:showLegendKey val="0"/>
          <c:showVal val="1"/>
          <c:showCatName val="0"/>
          <c:showSerName val="0"/>
          <c:showPercent val="0"/>
          <c:showBubbleSize val="0"/>
        </c:dLbls>
        <c:gapWidth val="75"/>
        <c:axId val="292588160"/>
        <c:axId val="292589952"/>
      </c:barChart>
      <c:catAx>
        <c:axId val="292588160"/>
        <c:scaling>
          <c:orientation val="minMax"/>
        </c:scaling>
        <c:delete val="0"/>
        <c:axPos val="b"/>
        <c:numFmt formatCode="General" sourceLinked="0"/>
        <c:majorTickMark val="none"/>
        <c:minorTickMark val="none"/>
        <c:tickLblPos val="nextTo"/>
        <c:txPr>
          <a:bodyPr/>
          <a:lstStyle/>
          <a:p>
            <a:pPr>
              <a:defRPr sz="1100"/>
            </a:pPr>
            <a:endParaRPr lang="ru-RU"/>
          </a:p>
        </c:txPr>
        <c:crossAx val="292589952"/>
        <c:crosses val="autoZero"/>
        <c:auto val="1"/>
        <c:lblAlgn val="ctr"/>
        <c:lblOffset val="100"/>
        <c:noMultiLvlLbl val="0"/>
      </c:catAx>
      <c:valAx>
        <c:axId val="292589952"/>
        <c:scaling>
          <c:orientation val="minMax"/>
        </c:scaling>
        <c:delete val="1"/>
        <c:axPos val="l"/>
        <c:numFmt formatCode="General" sourceLinked="1"/>
        <c:majorTickMark val="out"/>
        <c:minorTickMark val="none"/>
        <c:tickLblPos val="none"/>
        <c:crossAx val="292588160"/>
        <c:crosses val="autoZero"/>
        <c:crossBetween val="between"/>
      </c:valAx>
    </c:plotArea>
    <c:legend>
      <c:legendPos val="t"/>
      <c:layout>
        <c:manualLayout>
          <c:xMode val="edge"/>
          <c:yMode val="edge"/>
          <c:x val="0.37807386858597603"/>
          <c:y val="0.85377502474080502"/>
          <c:w val="0.24070793234179103"/>
          <c:h val="9.7233484112358159E-2"/>
        </c:manualLayout>
      </c:layout>
      <c:overlay val="0"/>
    </c:legend>
    <c:plotVisOnly val="1"/>
    <c:dispBlanksAs val="gap"/>
    <c:showDLblsOverMax val="0"/>
  </c:chart>
  <c:spPr>
    <a:ln>
      <a:solidFill>
        <a:sysClr val="window" lastClr="FFFFFF">
          <a:lumMod val="65000"/>
        </a:sysClr>
      </a:solidFill>
    </a:ln>
  </c:spPr>
  <c:txPr>
    <a:bodyPr/>
    <a:lstStyle/>
    <a:p>
      <a:pPr>
        <a:defRPr>
          <a:latin typeface="Garamond" panose="02020404030301010803" pitchFamily="18" charset="0"/>
        </a:defRPr>
      </a:pPr>
      <a:endParaRPr lang="ru-RU"/>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sz="1200"/>
            </a:pPr>
            <a:r>
              <a:rPr lang="ru-RU" sz="1200"/>
              <a:t>Оценка эффективности</a:t>
            </a:r>
            <a:r>
              <a:rPr lang="ru-RU" sz="1200" baseline="0"/>
              <a:t> пакета финансовых мер</a:t>
            </a:r>
            <a:endParaRPr lang="ru-RU" sz="1200"/>
          </a:p>
        </c:rich>
      </c:tx>
      <c:overlay val="0"/>
    </c:title>
    <c:autoTitleDeleted val="0"/>
    <c:plotArea>
      <c:layout>
        <c:manualLayout>
          <c:layoutTarget val="inner"/>
          <c:xMode val="edge"/>
          <c:yMode val="edge"/>
          <c:x val="0"/>
          <c:y val="0.16750493397627644"/>
          <c:w val="1"/>
          <c:h val="0.53275346395654033"/>
        </c:manualLayout>
      </c:layout>
      <c:barChart>
        <c:barDir val="bar"/>
        <c:grouping val="percentStacked"/>
        <c:varyColors val="0"/>
        <c:ser>
          <c:idx val="0"/>
          <c:order val="0"/>
          <c:tx>
            <c:strRef>
              <c:f>Лист1!$B$1</c:f>
              <c:strCache>
                <c:ptCount val="1"/>
                <c:pt idx="0">
                  <c:v>Очень плохо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###0.0%</c:formatCode>
                <c:ptCount val="1"/>
                <c:pt idx="0">
                  <c:v>0.16800000000000001</c:v>
                </c:pt>
              </c:numCache>
            </c:numRef>
          </c:val>
          <c:extLst>
            <c:ext xmlns:c16="http://schemas.microsoft.com/office/drawing/2014/chart" uri="{C3380CC4-5D6E-409C-BE32-E72D297353CC}">
              <c16:uniqueId val="{00000000-282A-48CD-9A67-36DC0DC48859}"/>
            </c:ext>
          </c:extLst>
        </c:ser>
        <c:ser>
          <c:idx val="1"/>
          <c:order val="1"/>
          <c:tx>
            <c:strRef>
              <c:f>Лист1!$C$1</c:f>
              <c:strCache>
                <c:ptCount val="1"/>
                <c:pt idx="0">
                  <c:v>Плохо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###0.0%</c:formatCode>
                <c:ptCount val="1"/>
                <c:pt idx="0">
                  <c:v>0.24900000000000003</c:v>
                </c:pt>
              </c:numCache>
            </c:numRef>
          </c:val>
          <c:extLst>
            <c:ext xmlns:c16="http://schemas.microsoft.com/office/drawing/2014/chart" uri="{C3380CC4-5D6E-409C-BE32-E72D297353CC}">
              <c16:uniqueId val="{00000001-282A-48CD-9A67-36DC0DC48859}"/>
            </c:ext>
          </c:extLst>
        </c:ser>
        <c:ser>
          <c:idx val="2"/>
          <c:order val="2"/>
          <c:tx>
            <c:strRef>
              <c:f>Лист1!$D$1</c:f>
              <c:strCache>
                <c:ptCount val="1"/>
                <c:pt idx="0">
                  <c:v>Слабо, но делается всё возможное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Лист1!$D$2</c:f>
              <c:numCache>
                <c:formatCode>###0.0%</c:formatCode>
                <c:ptCount val="1"/>
                <c:pt idx="0">
                  <c:v>0.3640000000000001</c:v>
                </c:pt>
              </c:numCache>
            </c:numRef>
          </c:val>
          <c:extLst>
            <c:ext xmlns:c16="http://schemas.microsoft.com/office/drawing/2014/chart" uri="{C3380CC4-5D6E-409C-BE32-E72D297353CC}">
              <c16:uniqueId val="{00000002-282A-48CD-9A67-36DC0DC48859}"/>
            </c:ext>
          </c:extLst>
        </c:ser>
        <c:ser>
          <c:idx val="3"/>
          <c:order val="3"/>
          <c:tx>
            <c:strRef>
              <c:f>Лист1!$E$1</c:f>
              <c:strCache>
                <c:ptCount val="1"/>
                <c:pt idx="0">
                  <c:v>Хорошо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Лист1!$E$2</c:f>
              <c:numCache>
                <c:formatCode>###0.0%</c:formatCode>
                <c:ptCount val="1"/>
                <c:pt idx="0">
                  <c:v>0.18500000000000003</c:v>
                </c:pt>
              </c:numCache>
            </c:numRef>
          </c:val>
          <c:extLst>
            <c:ext xmlns:c16="http://schemas.microsoft.com/office/drawing/2014/chart" uri="{C3380CC4-5D6E-409C-BE32-E72D297353CC}">
              <c16:uniqueId val="{00000003-282A-48CD-9A67-36DC0DC48859}"/>
            </c:ext>
          </c:extLst>
        </c:ser>
        <c:ser>
          <c:idx val="4"/>
          <c:order val="4"/>
          <c:tx>
            <c:strRef>
              <c:f>Лист1!$F$1</c:f>
              <c:strCache>
                <c:ptCount val="1"/>
                <c:pt idx="0">
                  <c:v>Отлично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Лист1!$F$2</c:f>
              <c:numCache>
                <c:formatCode>###0.0%</c:formatCode>
                <c:ptCount val="1"/>
                <c:pt idx="0">
                  <c:v>3.500000000000001E-2</c:v>
                </c:pt>
              </c:numCache>
            </c:numRef>
          </c:val>
          <c:extLst>
            <c:ext xmlns:c16="http://schemas.microsoft.com/office/drawing/2014/chart" uri="{C3380CC4-5D6E-409C-BE32-E72D297353CC}">
              <c16:uniqueId val="{00000004-282A-48CD-9A67-36DC0DC48859}"/>
            </c:ext>
          </c:extLst>
        </c:ser>
        <c:dLbls>
          <c:showLegendKey val="0"/>
          <c:showVal val="1"/>
          <c:showCatName val="0"/>
          <c:showSerName val="0"/>
          <c:showPercent val="0"/>
          <c:showBubbleSize val="0"/>
        </c:dLbls>
        <c:gapWidth val="95"/>
        <c:overlap val="100"/>
        <c:axId val="146616320"/>
        <c:axId val="146617856"/>
      </c:barChart>
      <c:catAx>
        <c:axId val="146616320"/>
        <c:scaling>
          <c:orientation val="minMax"/>
        </c:scaling>
        <c:delete val="1"/>
        <c:axPos val="l"/>
        <c:numFmt formatCode="General" sourceLinked="0"/>
        <c:majorTickMark val="none"/>
        <c:minorTickMark val="none"/>
        <c:tickLblPos val="none"/>
        <c:crossAx val="146617856"/>
        <c:crosses val="autoZero"/>
        <c:auto val="1"/>
        <c:lblAlgn val="ctr"/>
        <c:lblOffset val="100"/>
        <c:noMultiLvlLbl val="0"/>
      </c:catAx>
      <c:valAx>
        <c:axId val="146617856"/>
        <c:scaling>
          <c:orientation val="minMax"/>
        </c:scaling>
        <c:delete val="1"/>
        <c:axPos val="b"/>
        <c:numFmt formatCode="0%" sourceLinked="0"/>
        <c:majorTickMark val="out"/>
        <c:minorTickMark val="none"/>
        <c:tickLblPos val="none"/>
        <c:crossAx val="146616320"/>
        <c:crosses val="autoZero"/>
        <c:crossBetween val="between"/>
      </c:valAx>
    </c:plotArea>
    <c:legend>
      <c:legendPos val="t"/>
      <c:layout>
        <c:manualLayout>
          <c:xMode val="edge"/>
          <c:yMode val="edge"/>
          <c:x val="9.3994490358126889E-2"/>
          <c:y val="0.60723514211886365"/>
          <c:w val="0.67096401379579906"/>
          <c:h val="0.30962379702537213"/>
        </c:manualLayout>
      </c:layout>
      <c:overlay val="0"/>
      <c:txPr>
        <a:bodyPr/>
        <a:lstStyle/>
        <a:p>
          <a:pPr>
            <a:defRPr sz="1100"/>
          </a:pPr>
          <a:endParaRPr lang="ru-RU"/>
        </a:p>
      </c:txPr>
    </c:legend>
    <c:plotVisOnly val="1"/>
    <c:dispBlanksAs val="gap"/>
    <c:showDLblsOverMax val="0"/>
  </c:chart>
  <c:txPr>
    <a:bodyPr/>
    <a:lstStyle/>
    <a:p>
      <a:pPr>
        <a:defRPr>
          <a:latin typeface="Garamond" pitchFamily="18" charset="0"/>
        </a:defRPr>
      </a:pPr>
      <a:endParaRPr lang="ru-RU"/>
    </a:p>
  </c:tx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42782897187356533"/>
          <c:y val="2.2255947845229024E-2"/>
          <c:w val="0.54869468049167125"/>
          <c:h val="0.9595317923969181"/>
        </c:manualLayout>
      </c:layout>
      <c:barChart>
        <c:barDir val="bar"/>
        <c:grouping val="clustered"/>
        <c:varyColors val="0"/>
        <c:ser>
          <c:idx val="0"/>
          <c:order val="0"/>
          <c:tx>
            <c:strRef>
              <c:f>Лист1!$B$1</c:f>
              <c:strCache>
                <c:ptCount val="1"/>
                <c:pt idx="0">
                  <c:v>Ряд 1</c:v>
                </c:pt>
              </c:strCache>
            </c:strRef>
          </c:tx>
          <c:spPr>
            <a:solidFill>
              <a:schemeClr val="accent2"/>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Объективно невозможно выполнить нормативно определённые условия программы</c:v>
                </c:pt>
                <c:pt idx="1">
                  <c:v>Бюрократизация требований налоговых органов и их различный набор по регионам</c:v>
                </c:pt>
                <c:pt idx="2">
                  <c:v>Прекращение предоставление средств в рамках согласованных ранее кредитных договоров</c:v>
                </c:pt>
                <c:pt idx="3">
                  <c:v>Предъявление банками дополнительных требований, не предусмотренных госпрограммами</c:v>
                </c:pt>
                <c:pt idx="4">
                  <c:v>Другое</c:v>
                </c:pt>
                <c:pt idx="5">
                  <c:v>Продолжение начисления пеней и штрафов по кредитам, несмотря на обращение за реструктуризацией</c:v>
                </c:pt>
                <c:pt idx="6">
                  <c:v>Отказ в удалённом открытии счетов, несмотря на рекомендации Банка России</c:v>
                </c:pt>
                <c:pt idx="7">
                  <c:v>Блокировка операций по счёту в связи с транзитным характером</c:v>
                </c:pt>
              </c:strCache>
            </c:strRef>
          </c:cat>
          <c:val>
            <c:numRef>
              <c:f>Лист1!$B$2:$B$9</c:f>
              <c:numCache>
                <c:formatCode>###0.0%</c:formatCode>
                <c:ptCount val="8"/>
                <c:pt idx="0">
                  <c:v>0.65600000000000014</c:v>
                </c:pt>
                <c:pt idx="1">
                  <c:v>0.29000000000000004</c:v>
                </c:pt>
                <c:pt idx="2">
                  <c:v>0.23700000000000002</c:v>
                </c:pt>
                <c:pt idx="3">
                  <c:v>0.20400000000000001</c:v>
                </c:pt>
                <c:pt idx="4">
                  <c:v>0.17200000000000001</c:v>
                </c:pt>
                <c:pt idx="5">
                  <c:v>0.129</c:v>
                </c:pt>
                <c:pt idx="6">
                  <c:v>8.6000000000000021E-2</c:v>
                </c:pt>
                <c:pt idx="7">
                  <c:v>6.5000000000000002E-2</c:v>
                </c:pt>
              </c:numCache>
            </c:numRef>
          </c:val>
          <c:extLst>
            <c:ext xmlns:c16="http://schemas.microsoft.com/office/drawing/2014/chart" uri="{C3380CC4-5D6E-409C-BE32-E72D297353CC}">
              <c16:uniqueId val="{00000000-DF30-411E-8936-5ED4394E8DA1}"/>
            </c:ext>
          </c:extLst>
        </c:ser>
        <c:dLbls>
          <c:showLegendKey val="0"/>
          <c:showVal val="1"/>
          <c:showCatName val="0"/>
          <c:showSerName val="0"/>
          <c:showPercent val="0"/>
          <c:showBubbleSize val="0"/>
        </c:dLbls>
        <c:gapWidth val="75"/>
        <c:axId val="146950016"/>
        <c:axId val="146951552"/>
      </c:barChart>
      <c:catAx>
        <c:axId val="146950016"/>
        <c:scaling>
          <c:orientation val="maxMin"/>
        </c:scaling>
        <c:delete val="0"/>
        <c:axPos val="l"/>
        <c:numFmt formatCode="General" sourceLinked="0"/>
        <c:majorTickMark val="none"/>
        <c:minorTickMark val="none"/>
        <c:tickLblPos val="nextTo"/>
        <c:crossAx val="146951552"/>
        <c:crosses val="autoZero"/>
        <c:auto val="1"/>
        <c:lblAlgn val="ctr"/>
        <c:lblOffset val="100"/>
        <c:noMultiLvlLbl val="0"/>
      </c:catAx>
      <c:valAx>
        <c:axId val="146951552"/>
        <c:scaling>
          <c:orientation val="minMax"/>
        </c:scaling>
        <c:delete val="1"/>
        <c:axPos val="t"/>
        <c:numFmt formatCode="0%" sourceLinked="0"/>
        <c:majorTickMark val="out"/>
        <c:minorTickMark val="none"/>
        <c:tickLblPos val="none"/>
        <c:crossAx val="146950016"/>
        <c:crosses val="autoZero"/>
        <c:crossBetween val="between"/>
      </c:valAx>
    </c:plotArea>
    <c:plotVisOnly val="1"/>
    <c:dispBlanksAs val="gap"/>
    <c:showDLblsOverMax val="0"/>
  </c:chart>
  <c:txPr>
    <a:bodyPr/>
    <a:lstStyle/>
    <a:p>
      <a:pPr>
        <a:defRPr>
          <a:latin typeface="Garamond" pitchFamily="18" charset="0"/>
        </a:defRPr>
      </a:pPr>
      <a:endParaRPr lang="ru-RU"/>
    </a:p>
  </c:tx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43115130410678865"/>
          <c:y val="2.0642959952586578E-2"/>
          <c:w val="0.5464944604696691"/>
          <c:h val="0.97243484886969778"/>
        </c:manualLayout>
      </c:layout>
      <c:barChart>
        <c:barDir val="bar"/>
        <c:grouping val="clustered"/>
        <c:varyColors val="0"/>
        <c:ser>
          <c:idx val="0"/>
          <c:order val="0"/>
          <c:tx>
            <c:strRef>
              <c:f>Лист1!$B$1</c:f>
              <c:strCache>
                <c:ptCount val="1"/>
                <c:pt idx="0">
                  <c:v>Ряд 1</c:v>
                </c:pt>
              </c:strCache>
            </c:strRef>
          </c:tx>
          <c:spPr>
            <a:solidFill>
              <a:schemeClr val="accent1"/>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Реализация значимых инфраструктурных проектов федерального или регионального масштаба</c:v>
                </c:pt>
                <c:pt idx="1">
                  <c:v>Рефинансирование кредитов за счёт государственных субсидий и/ или через  госгарантии</c:v>
                </c:pt>
                <c:pt idx="2">
                  <c:v>Увеличение до 10 млрд руб. лимитов по кредитам на пополнение оборотных средств</c:v>
                </c:pt>
                <c:pt idx="3">
                  <c:v>Обеспечение платежеспособности потребительского спроса за счёт расширения программ поддержки потребкредитования</c:v>
                </c:pt>
                <c:pt idx="4">
                  <c:v>Изменение политики по установлению кредитных и инвестиционных рейтингов </c:v>
                </c:pt>
                <c:pt idx="5">
                  <c:v>Установление возможности досрочного погашения кредитных обязательств без штрафов</c:v>
                </c:pt>
                <c:pt idx="6">
                  <c:v>Другое</c:v>
                </c:pt>
                <c:pt idx="7">
                  <c:v>Расширение возможностей инвестирования средств субъектов коллективных инвестиций</c:v>
                </c:pt>
              </c:strCache>
            </c:strRef>
          </c:cat>
          <c:val>
            <c:numRef>
              <c:f>Лист1!$B$2:$B$9</c:f>
              <c:numCache>
                <c:formatCode>###0.0%</c:formatCode>
                <c:ptCount val="8"/>
                <c:pt idx="0">
                  <c:v>0.41420118343195261</c:v>
                </c:pt>
                <c:pt idx="1">
                  <c:v>0.40236686390532561</c:v>
                </c:pt>
                <c:pt idx="2">
                  <c:v>0.33727810650887585</c:v>
                </c:pt>
                <c:pt idx="3">
                  <c:v>0.33136094674556221</c:v>
                </c:pt>
                <c:pt idx="4">
                  <c:v>0.25443786982248534</c:v>
                </c:pt>
                <c:pt idx="5">
                  <c:v>0.24260355029585798</c:v>
                </c:pt>
                <c:pt idx="6">
                  <c:v>0.13017751479289938</c:v>
                </c:pt>
                <c:pt idx="7">
                  <c:v>7.6923076923076927E-2</c:v>
                </c:pt>
              </c:numCache>
            </c:numRef>
          </c:val>
          <c:extLst>
            <c:ext xmlns:c16="http://schemas.microsoft.com/office/drawing/2014/chart" uri="{C3380CC4-5D6E-409C-BE32-E72D297353CC}">
              <c16:uniqueId val="{00000000-9574-40ED-9262-0A92322E9911}"/>
            </c:ext>
          </c:extLst>
        </c:ser>
        <c:dLbls>
          <c:showLegendKey val="0"/>
          <c:showVal val="1"/>
          <c:showCatName val="0"/>
          <c:showSerName val="0"/>
          <c:showPercent val="0"/>
          <c:showBubbleSize val="0"/>
        </c:dLbls>
        <c:gapWidth val="75"/>
        <c:axId val="146963456"/>
        <c:axId val="146977536"/>
      </c:barChart>
      <c:catAx>
        <c:axId val="146963456"/>
        <c:scaling>
          <c:orientation val="maxMin"/>
        </c:scaling>
        <c:delete val="0"/>
        <c:axPos val="l"/>
        <c:numFmt formatCode="General" sourceLinked="0"/>
        <c:majorTickMark val="none"/>
        <c:minorTickMark val="none"/>
        <c:tickLblPos val="nextTo"/>
        <c:crossAx val="146977536"/>
        <c:crosses val="autoZero"/>
        <c:auto val="1"/>
        <c:lblAlgn val="ctr"/>
        <c:lblOffset val="100"/>
        <c:noMultiLvlLbl val="0"/>
      </c:catAx>
      <c:valAx>
        <c:axId val="146977536"/>
        <c:scaling>
          <c:orientation val="minMax"/>
        </c:scaling>
        <c:delete val="1"/>
        <c:axPos val="t"/>
        <c:numFmt formatCode="0%" sourceLinked="0"/>
        <c:majorTickMark val="out"/>
        <c:minorTickMark val="none"/>
        <c:tickLblPos val="none"/>
        <c:crossAx val="146963456"/>
        <c:crosses val="autoZero"/>
        <c:crossBetween val="between"/>
      </c:valAx>
    </c:plotArea>
    <c:plotVisOnly val="1"/>
    <c:dispBlanksAs val="gap"/>
    <c:showDLblsOverMax val="0"/>
  </c:chart>
  <c:txPr>
    <a:bodyPr/>
    <a:lstStyle/>
    <a:p>
      <a:pPr>
        <a:defRPr>
          <a:latin typeface="Garamond" pitchFamily="18" charset="0"/>
        </a:defRPr>
      </a:pPr>
      <a:endParaRPr lang="ru-RU"/>
    </a:p>
  </c:tx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844292611571701"/>
          <c:y val="5.685361955453893E-2"/>
          <c:w val="0.53855194026672581"/>
          <c:h val="0.852957961260429"/>
        </c:manualLayout>
      </c:layout>
      <c:pieChart>
        <c:varyColors val="1"/>
        <c:ser>
          <c:idx val="0"/>
          <c:order val="0"/>
          <c:tx>
            <c:strRef>
              <c:f>Лист1!$B$1</c:f>
              <c:strCache>
                <c:ptCount val="1"/>
                <c:pt idx="0">
                  <c:v>2019</c:v>
                </c:pt>
              </c:strCache>
            </c:strRef>
          </c:tx>
          <c:explosion val="25"/>
          <c:dLbls>
            <c:numFmt formatCode="0.0%" sourceLinked="0"/>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Лист1!$A$2:$A$5</c:f>
              <c:strCache>
                <c:ptCount val="4"/>
                <c:pt idx="0">
                  <c:v>Ни один технологический процесс не автоматизирован</c:v>
                </c:pt>
                <c:pt idx="1">
                  <c:v>Автоматизированы отдельные технологические процессы</c:v>
                </c:pt>
                <c:pt idx="2">
                  <c:v>Автоматизированы несколько взаимосвязанных технологических процессов</c:v>
                </c:pt>
                <c:pt idx="3">
                  <c:v>Все функции выполняются автоматически</c:v>
                </c:pt>
              </c:strCache>
            </c:strRef>
          </c:cat>
          <c:val>
            <c:numRef>
              <c:f>Лист1!$B$2:$B$5</c:f>
              <c:numCache>
                <c:formatCode>General</c:formatCode>
                <c:ptCount val="4"/>
                <c:pt idx="0">
                  <c:v>10</c:v>
                </c:pt>
                <c:pt idx="1">
                  <c:v>51</c:v>
                </c:pt>
                <c:pt idx="2">
                  <c:v>37.1</c:v>
                </c:pt>
                <c:pt idx="3">
                  <c:v>1.9000000000000001</c:v>
                </c:pt>
              </c:numCache>
            </c:numRef>
          </c:val>
          <c:extLst>
            <c:ext xmlns:c16="http://schemas.microsoft.com/office/drawing/2014/chart" uri="{C3380CC4-5D6E-409C-BE32-E72D297353CC}">
              <c16:uniqueId val="{00000000-ACAF-4630-B114-AB89E2A2345E}"/>
            </c:ext>
          </c:extLst>
        </c:ser>
        <c:dLbls>
          <c:showLegendKey val="0"/>
          <c:showVal val="0"/>
          <c:showCatName val="0"/>
          <c:showSerName val="0"/>
          <c:showPercent val="1"/>
          <c:showBubbleSize val="0"/>
          <c:showLeaderLines val="0"/>
        </c:dLbls>
        <c:firstSliceAng val="0"/>
      </c:pieChart>
    </c:plotArea>
    <c:legend>
      <c:legendPos val="t"/>
      <c:layout>
        <c:manualLayout>
          <c:xMode val="edge"/>
          <c:yMode val="edge"/>
          <c:x val="0.68438556291574659"/>
          <c:y val="2.2346368715083803E-2"/>
          <c:w val="0.31561443708425341"/>
          <c:h val="0.96107860819073609"/>
        </c:manualLayout>
      </c:layout>
      <c:overlay val="0"/>
    </c:legend>
    <c:plotVisOnly val="1"/>
    <c:dispBlanksAs val="zero"/>
    <c:showDLblsOverMax val="0"/>
  </c:chart>
  <c:spPr>
    <a:ln>
      <a:solidFill>
        <a:sysClr val="window" lastClr="FFFFFF">
          <a:lumMod val="75000"/>
        </a:sysClr>
      </a:solidFill>
    </a:ln>
  </c:spPr>
  <c:txPr>
    <a:bodyPr/>
    <a:lstStyle/>
    <a:p>
      <a:pPr>
        <a:defRPr>
          <a:latin typeface="Garamond" panose="02020404030301010803" pitchFamily="18" charset="0"/>
        </a:defRPr>
      </a:pPr>
      <a:endParaRPr lang="ru-RU"/>
    </a:p>
  </c:txPr>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1094854522495037"/>
          <c:y val="7.848001300722364E-3"/>
          <c:w val="0.4890514547750498"/>
          <c:h val="0.96811000394862134"/>
        </c:manualLayout>
      </c:layout>
      <c:barChart>
        <c:barDir val="bar"/>
        <c:grouping val="clustered"/>
        <c:varyColors val="0"/>
        <c:ser>
          <c:idx val="0"/>
          <c:order val="0"/>
          <c:tx>
            <c:strRef>
              <c:f>Лист1!$B$1</c:f>
              <c:strCache>
                <c:ptCount val="1"/>
                <c:pt idx="0">
                  <c:v>Столбец1</c:v>
                </c:pt>
              </c:strCache>
            </c:strRef>
          </c:tx>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Лист1!$A$2:$A$15</c:f>
              <c:strCache>
                <c:ptCount val="14"/>
                <c:pt idx="0">
                  <c:v>Системы электронного документооборота</c:v>
                </c:pt>
                <c:pt idx="1">
                  <c:v>Для осуществления финансовых расчетов в электронном виде</c:v>
                </c:pt>
                <c:pt idx="2">
                  <c:v>Электронные справочно-правовые системы</c:v>
                </c:pt>
                <c:pt idx="3">
                  <c:v>Для решения организационных, управленческих и экономических задач</c:v>
                </c:pt>
                <c:pt idx="4">
                  <c:v>Для управления автоматизированным производством</c:v>
                </c:pt>
                <c:pt idx="5">
                  <c:v>Для проектирования</c:v>
                </c:pt>
                <c:pt idx="6">
                  <c:v>Для управления закупками и продажами </c:v>
                </c:pt>
                <c:pt idx="7">
                  <c:v>Для предоставления доступа к базам данных через глобальные информационные сети</c:v>
                </c:pt>
                <c:pt idx="8">
                  <c:v>CRM, ERP, SCM системы</c:v>
                </c:pt>
                <c:pt idx="9">
                  <c:v>Для управления продажами</c:v>
                </c:pt>
                <c:pt idx="10">
                  <c:v>Обучающие программы</c:v>
                </c:pt>
                <c:pt idx="11">
                  <c:v>Технологии автоматической идентификации объектов (RFID)</c:v>
                </c:pt>
                <c:pt idx="12">
                  <c:v>Редакционно-издательские системы</c:v>
                </c:pt>
                <c:pt idx="13">
                  <c:v>Для научных исследований</c:v>
                </c:pt>
              </c:strCache>
            </c:strRef>
          </c:cat>
          <c:val>
            <c:numRef>
              <c:f>Лист1!$B$2:$B$15</c:f>
              <c:numCache>
                <c:formatCode>0.0</c:formatCode>
                <c:ptCount val="14"/>
                <c:pt idx="0">
                  <c:v>69.516728624535332</c:v>
                </c:pt>
                <c:pt idx="1">
                  <c:v>66.914498141263934</c:v>
                </c:pt>
                <c:pt idx="2">
                  <c:v>63.197026022304847</c:v>
                </c:pt>
                <c:pt idx="3">
                  <c:v>62.081784386617088</c:v>
                </c:pt>
                <c:pt idx="4">
                  <c:v>55.762081784386609</c:v>
                </c:pt>
                <c:pt idx="5">
                  <c:v>53.903345724907062</c:v>
                </c:pt>
                <c:pt idx="6">
                  <c:v>49.070631970260216</c:v>
                </c:pt>
                <c:pt idx="7">
                  <c:v>47.211895910780662</c:v>
                </c:pt>
                <c:pt idx="8">
                  <c:v>43.494423791821553</c:v>
                </c:pt>
                <c:pt idx="9">
                  <c:v>36.059479553903337</c:v>
                </c:pt>
                <c:pt idx="10">
                  <c:v>29.739776951672862</c:v>
                </c:pt>
                <c:pt idx="11">
                  <c:v>11.152416356877326</c:v>
                </c:pt>
                <c:pt idx="12">
                  <c:v>8.5501858736059511</c:v>
                </c:pt>
                <c:pt idx="13">
                  <c:v>8.178438661710036</c:v>
                </c:pt>
              </c:numCache>
            </c:numRef>
          </c:val>
          <c:extLst>
            <c:ext xmlns:c16="http://schemas.microsoft.com/office/drawing/2014/chart" uri="{C3380CC4-5D6E-409C-BE32-E72D297353CC}">
              <c16:uniqueId val="{00000000-3132-430C-BE9E-46DDD7571C4D}"/>
            </c:ext>
          </c:extLst>
        </c:ser>
        <c:dLbls>
          <c:showLegendKey val="0"/>
          <c:showVal val="1"/>
          <c:showCatName val="0"/>
          <c:showSerName val="0"/>
          <c:showPercent val="0"/>
          <c:showBubbleSize val="0"/>
        </c:dLbls>
        <c:gapWidth val="75"/>
        <c:axId val="307545984"/>
        <c:axId val="307626752"/>
      </c:barChart>
      <c:catAx>
        <c:axId val="307545984"/>
        <c:scaling>
          <c:orientation val="maxMin"/>
        </c:scaling>
        <c:delete val="0"/>
        <c:axPos val="l"/>
        <c:numFmt formatCode="General" sourceLinked="0"/>
        <c:majorTickMark val="none"/>
        <c:minorTickMark val="none"/>
        <c:tickLblPos val="nextTo"/>
        <c:txPr>
          <a:bodyPr rot="0" vert="horz"/>
          <a:lstStyle/>
          <a:p>
            <a:pPr>
              <a:defRPr/>
            </a:pPr>
            <a:endParaRPr lang="ru-RU"/>
          </a:p>
        </c:txPr>
        <c:crossAx val="307626752"/>
        <c:crosses val="autoZero"/>
        <c:auto val="1"/>
        <c:lblAlgn val="ctr"/>
        <c:lblOffset val="100"/>
        <c:noMultiLvlLbl val="0"/>
      </c:catAx>
      <c:valAx>
        <c:axId val="307626752"/>
        <c:scaling>
          <c:orientation val="minMax"/>
        </c:scaling>
        <c:delete val="1"/>
        <c:axPos val="t"/>
        <c:numFmt formatCode="0.0" sourceLinked="1"/>
        <c:majorTickMark val="out"/>
        <c:minorTickMark val="none"/>
        <c:tickLblPos val="none"/>
        <c:crossAx val="307545984"/>
        <c:crosses val="autoZero"/>
        <c:crossBetween val="between"/>
      </c:valAx>
    </c:plotArea>
    <c:plotVisOnly val="1"/>
    <c:dispBlanksAs val="gap"/>
    <c:showDLblsOverMax val="0"/>
  </c:chart>
  <c:spPr>
    <a:ln>
      <a:solidFill>
        <a:schemeClr val="bg1">
          <a:lumMod val="75000"/>
        </a:schemeClr>
      </a:solidFill>
    </a:ln>
  </c:spPr>
  <c:txPr>
    <a:bodyPr/>
    <a:lstStyle/>
    <a:p>
      <a:pPr>
        <a:defRPr>
          <a:latin typeface="Garamond" panose="02020404030301010803" pitchFamily="18" charset="0"/>
        </a:defRPr>
      </a:pPr>
      <a:endParaRPr lang="ru-RU"/>
    </a:p>
  </c:txPr>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Существует ли в компании план бесперебойного функционирования</a:t>
            </a:r>
          </a:p>
        </c:rich>
      </c:tx>
      <c:overlay val="0"/>
    </c:title>
    <c:autoTitleDeleted val="0"/>
    <c:plotArea>
      <c:layout>
        <c:manualLayout>
          <c:layoutTarget val="inner"/>
          <c:xMode val="edge"/>
          <c:yMode val="edge"/>
          <c:x val="0.29100147203821747"/>
          <c:y val="0.30010021474588489"/>
          <c:w val="0.68474808704467705"/>
          <c:h val="0.69989978525411789"/>
        </c:manualLayout>
      </c:layout>
      <c:barChart>
        <c:barDir val="bar"/>
        <c:grouping val="stacked"/>
        <c:varyColors val="0"/>
        <c:ser>
          <c:idx val="0"/>
          <c:order val="0"/>
          <c:tx>
            <c:strRef>
              <c:f>Лист1!$B$1</c:f>
              <c:strCache>
                <c:ptCount val="1"/>
                <c:pt idx="0">
                  <c:v>Да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Малые компании</c:v>
                </c:pt>
                <c:pt idx="1">
                  <c:v>Компании среднего размера</c:v>
                </c:pt>
                <c:pt idx="2">
                  <c:v>Крупные компании</c:v>
                </c:pt>
              </c:strCache>
            </c:strRef>
          </c:cat>
          <c:val>
            <c:numRef>
              <c:f>Лист1!$B$2:$B$4</c:f>
              <c:numCache>
                <c:formatCode>###0.0%</c:formatCode>
                <c:ptCount val="3"/>
                <c:pt idx="0">
                  <c:v>0.29400000000000032</c:v>
                </c:pt>
                <c:pt idx="1">
                  <c:v>0.57500000000000062</c:v>
                </c:pt>
                <c:pt idx="2">
                  <c:v>0.81799999999999995</c:v>
                </c:pt>
              </c:numCache>
            </c:numRef>
          </c:val>
          <c:extLst>
            <c:ext xmlns:c16="http://schemas.microsoft.com/office/drawing/2014/chart" uri="{C3380CC4-5D6E-409C-BE32-E72D297353CC}">
              <c16:uniqueId val="{00000000-18FF-4B86-8612-B1EEC791D399}"/>
            </c:ext>
          </c:extLst>
        </c:ser>
        <c:ser>
          <c:idx val="1"/>
          <c:order val="1"/>
          <c:tx>
            <c:strRef>
              <c:f>Лист1!$C$1</c:f>
              <c:strCache>
                <c:ptCount val="1"/>
                <c:pt idx="0">
                  <c:v>Нет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Малые компании</c:v>
                </c:pt>
                <c:pt idx="1">
                  <c:v>Компании среднего размера</c:v>
                </c:pt>
                <c:pt idx="2">
                  <c:v>Крупные компании</c:v>
                </c:pt>
              </c:strCache>
            </c:strRef>
          </c:cat>
          <c:val>
            <c:numRef>
              <c:f>Лист1!$C$2:$C$4</c:f>
              <c:numCache>
                <c:formatCode>0.0%</c:formatCode>
                <c:ptCount val="3"/>
                <c:pt idx="0">
                  <c:v>0.70600000000000063</c:v>
                </c:pt>
                <c:pt idx="1">
                  <c:v>0.42500000000000032</c:v>
                </c:pt>
                <c:pt idx="2">
                  <c:v>0.18200000000000024</c:v>
                </c:pt>
              </c:numCache>
            </c:numRef>
          </c:val>
          <c:extLst>
            <c:ext xmlns:c16="http://schemas.microsoft.com/office/drawing/2014/chart" uri="{C3380CC4-5D6E-409C-BE32-E72D297353CC}">
              <c16:uniqueId val="{00000001-18FF-4B86-8612-B1EEC791D399}"/>
            </c:ext>
          </c:extLst>
        </c:ser>
        <c:dLbls>
          <c:showLegendKey val="0"/>
          <c:showVal val="1"/>
          <c:showCatName val="0"/>
          <c:showSerName val="0"/>
          <c:showPercent val="0"/>
          <c:showBubbleSize val="0"/>
        </c:dLbls>
        <c:gapWidth val="95"/>
        <c:overlap val="100"/>
        <c:axId val="91616384"/>
        <c:axId val="91617920"/>
      </c:barChart>
      <c:catAx>
        <c:axId val="91616384"/>
        <c:scaling>
          <c:orientation val="minMax"/>
        </c:scaling>
        <c:delete val="0"/>
        <c:axPos val="l"/>
        <c:numFmt formatCode="General" sourceLinked="1"/>
        <c:majorTickMark val="none"/>
        <c:minorTickMark val="none"/>
        <c:tickLblPos val="nextTo"/>
        <c:crossAx val="91617920"/>
        <c:crosses val="autoZero"/>
        <c:auto val="1"/>
        <c:lblAlgn val="ctr"/>
        <c:lblOffset val="100"/>
        <c:noMultiLvlLbl val="0"/>
      </c:catAx>
      <c:valAx>
        <c:axId val="91617920"/>
        <c:scaling>
          <c:orientation val="minMax"/>
        </c:scaling>
        <c:delete val="1"/>
        <c:axPos val="b"/>
        <c:numFmt formatCode="0%" sourceLinked="0"/>
        <c:majorTickMark val="out"/>
        <c:minorTickMark val="none"/>
        <c:tickLblPos val="none"/>
        <c:crossAx val="91616384"/>
        <c:crosses val="autoZero"/>
        <c:crossBetween val="between"/>
      </c:valAx>
    </c:plotArea>
    <c:legend>
      <c:legendPos val="t"/>
      <c:layout>
        <c:manualLayout>
          <c:xMode val="edge"/>
          <c:yMode val="edge"/>
          <c:x val="0.90114430140676849"/>
          <c:y val="0.19393939393939469"/>
          <c:w val="9.718229665736218E-2"/>
          <c:h val="0.80606060606060603"/>
        </c:manualLayout>
      </c:layout>
      <c:overlay val="0"/>
    </c:legend>
    <c:plotVisOnly val="1"/>
    <c:dispBlanksAs val="gap"/>
    <c:showDLblsOverMax val="0"/>
  </c:chart>
  <c:txPr>
    <a:bodyPr/>
    <a:lstStyle/>
    <a:p>
      <a:pPr>
        <a:defRPr sz="1000">
          <a:latin typeface="Garamond" panose="02020404030301010803" pitchFamily="18" charset="0"/>
        </a:defRPr>
      </a:pPr>
      <a:endParaRPr lang="ru-RU"/>
    </a:p>
  </c:txPr>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Необходимое время для восстановления деятельности</a:t>
            </a:r>
          </a:p>
        </c:rich>
      </c:tx>
      <c:layout>
        <c:manualLayout>
          <c:xMode val="edge"/>
          <c:yMode val="edge"/>
          <c:x val="0.13407187976311655"/>
          <c:y val="2.6888110683319914E-2"/>
        </c:manualLayout>
      </c:layout>
      <c:overlay val="0"/>
    </c:title>
    <c:autoTitleDeleted val="0"/>
    <c:plotArea>
      <c:layout>
        <c:manualLayout>
          <c:layoutTarget val="inner"/>
          <c:xMode val="edge"/>
          <c:yMode val="edge"/>
          <c:x val="0"/>
          <c:y val="0.20166527571150381"/>
          <c:w val="0.97331636244036557"/>
          <c:h val="0.56974055662397327"/>
        </c:manualLayout>
      </c:layout>
      <c:barChart>
        <c:barDir val="col"/>
        <c:grouping val="clustered"/>
        <c:varyColors val="0"/>
        <c:ser>
          <c:idx val="0"/>
          <c:order val="0"/>
          <c:tx>
            <c:strRef>
              <c:f>Лист1!$B$1</c:f>
              <c:strCache>
                <c:ptCount val="1"/>
                <c:pt idx="0">
                  <c:v>Ряд 1</c:v>
                </c:pt>
              </c:strCache>
            </c:strRef>
          </c:tx>
          <c:invertIfNegative val="0"/>
          <c:dPt>
            <c:idx val="5"/>
            <c:invertIfNegative val="0"/>
            <c:bubble3D val="0"/>
            <c:spPr>
              <a:solidFill>
                <a:srgbClr val="C0504D"/>
              </a:solidFill>
            </c:spPr>
            <c:extLst>
              <c:ext xmlns:c16="http://schemas.microsoft.com/office/drawing/2014/chart" uri="{C3380CC4-5D6E-409C-BE32-E72D297353CC}">
                <c16:uniqueId val="{00000001-A4DF-4D1E-AE44-603482BB10D4}"/>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менее 7 дней</c:v>
                </c:pt>
                <c:pt idx="1">
                  <c:v>от 8 до 30 дней</c:v>
                </c:pt>
                <c:pt idx="2">
                  <c:v>От 31 до 90 дней</c:v>
                </c:pt>
                <c:pt idx="3">
                  <c:v>От 91 до 180 дней</c:v>
                </c:pt>
                <c:pt idx="4">
                  <c:v>Свыше 181 дней</c:v>
                </c:pt>
                <c:pt idx="5">
                  <c:v>Планы закрыть компанию</c:v>
                </c:pt>
              </c:strCache>
            </c:strRef>
          </c:cat>
          <c:val>
            <c:numRef>
              <c:f>Лист1!$B$2:$B$7</c:f>
              <c:numCache>
                <c:formatCode>###0.0%</c:formatCode>
                <c:ptCount val="6"/>
                <c:pt idx="0">
                  <c:v>0.14947435204036147</c:v>
                </c:pt>
                <c:pt idx="1">
                  <c:v>0.18984875720077354</c:v>
                </c:pt>
                <c:pt idx="2">
                  <c:v>0.26245847412850182</c:v>
                </c:pt>
                <c:pt idx="3">
                  <c:v>0.17249727762306621</c:v>
                </c:pt>
                <c:pt idx="4">
                  <c:v>0.15107464971597509</c:v>
                </c:pt>
                <c:pt idx="5">
                  <c:v>7.4646489291324294E-2</c:v>
                </c:pt>
              </c:numCache>
            </c:numRef>
          </c:val>
          <c:extLst>
            <c:ext xmlns:c16="http://schemas.microsoft.com/office/drawing/2014/chart" uri="{C3380CC4-5D6E-409C-BE32-E72D297353CC}">
              <c16:uniqueId val="{00000002-A4DF-4D1E-AE44-603482BB10D4}"/>
            </c:ext>
          </c:extLst>
        </c:ser>
        <c:dLbls>
          <c:showLegendKey val="0"/>
          <c:showVal val="1"/>
          <c:showCatName val="0"/>
          <c:showSerName val="0"/>
          <c:showPercent val="0"/>
          <c:showBubbleSize val="0"/>
        </c:dLbls>
        <c:gapWidth val="75"/>
        <c:axId val="98756096"/>
        <c:axId val="98757632"/>
      </c:barChart>
      <c:catAx>
        <c:axId val="98756096"/>
        <c:scaling>
          <c:orientation val="minMax"/>
        </c:scaling>
        <c:delete val="0"/>
        <c:axPos val="b"/>
        <c:numFmt formatCode="General" sourceLinked="0"/>
        <c:majorTickMark val="none"/>
        <c:minorTickMark val="none"/>
        <c:tickLblPos val="nextTo"/>
        <c:crossAx val="98757632"/>
        <c:crosses val="autoZero"/>
        <c:auto val="1"/>
        <c:lblAlgn val="ctr"/>
        <c:lblOffset val="100"/>
        <c:noMultiLvlLbl val="0"/>
      </c:catAx>
      <c:valAx>
        <c:axId val="98757632"/>
        <c:scaling>
          <c:orientation val="minMax"/>
        </c:scaling>
        <c:delete val="1"/>
        <c:axPos val="l"/>
        <c:numFmt formatCode="0%" sourceLinked="0"/>
        <c:majorTickMark val="out"/>
        <c:minorTickMark val="none"/>
        <c:tickLblPos val="none"/>
        <c:crossAx val="98756096"/>
        <c:crosses val="autoZero"/>
        <c:crossBetween val="between"/>
      </c:valAx>
    </c:plotArea>
    <c:plotVisOnly val="1"/>
    <c:dispBlanksAs val="gap"/>
    <c:showDLblsOverMax val="0"/>
  </c:chart>
  <c:txPr>
    <a:bodyPr/>
    <a:lstStyle/>
    <a:p>
      <a:pPr>
        <a:defRPr sz="1000">
          <a:latin typeface="Garamond" panose="02020404030301010803" pitchFamily="18" charset="0"/>
        </a:defRPr>
      </a:pPr>
      <a:endParaRPr lang="ru-RU"/>
    </a:p>
  </c:txPr>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sz="1200"/>
            </a:pPr>
            <a:r>
              <a:rPr lang="ru-RU" sz="1200" b="1" i="0" baseline="0"/>
              <a:t>Сроки восстановления объёмов выручки: прогноз компаний</a:t>
            </a:r>
          </a:p>
        </c:rich>
      </c:tx>
      <c:layout>
        <c:manualLayout>
          <c:xMode val="edge"/>
          <c:yMode val="edge"/>
          <c:x val="0.17414796587926512"/>
          <c:y val="3.8169404082221685E-2"/>
        </c:manualLayout>
      </c:layout>
      <c:overlay val="0"/>
    </c:title>
    <c:autoTitleDeleted val="0"/>
    <c:plotArea>
      <c:layout>
        <c:manualLayout>
          <c:layoutTarget val="inner"/>
          <c:xMode val="edge"/>
          <c:yMode val="edge"/>
          <c:x val="0.49873769685039371"/>
          <c:y val="0.16181977252843396"/>
          <c:w val="0.43199967191601057"/>
          <c:h val="0.76655067601085969"/>
        </c:manualLayout>
      </c:layout>
      <c:barChart>
        <c:barDir val="bar"/>
        <c:grouping val="stacked"/>
        <c:varyColors val="0"/>
        <c:ser>
          <c:idx val="0"/>
          <c:order val="0"/>
          <c:tx>
            <c:strRef>
              <c:f>Лист1!$B$1</c:f>
              <c:strCache>
                <c:ptCount val="1"/>
                <c:pt idx="0">
                  <c:v>Столбец1</c:v>
                </c:pt>
              </c:strCache>
            </c:strRef>
          </c:tx>
          <c:spPr>
            <a:solidFill>
              <a:schemeClr val="accent2">
                <a:lumMod val="60000"/>
                <a:lumOff val="40000"/>
              </a:schemeClr>
            </a:solidFill>
          </c:spPr>
          <c:invertIfNegative val="0"/>
          <c:dLbls>
            <c:dLbl>
              <c:idx val="4"/>
              <c:layout>
                <c:manualLayout>
                  <c:x val="4.917156600748262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C0A-411A-99F7-93716E3E01DE}"/>
                </c:ext>
              </c:extLst>
            </c:dLbl>
            <c:dLbl>
              <c:idx val="5"/>
              <c:layout>
                <c:manualLayout>
                  <c:x val="3.634420096205238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C0A-411A-99F7-93716E3E01DE}"/>
                </c:ext>
              </c:extLst>
            </c:dLbl>
            <c:dLbl>
              <c:idx val="6"/>
              <c:layout>
                <c:manualLayout>
                  <c:x val="5.624999999999999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C0A-411A-99F7-93716E3E01D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В планах серьёзно улучшить свои позиции</c:v>
                </c:pt>
                <c:pt idx="1">
                  <c:v>Компании потребуется менее 3 месяцев</c:v>
                </c:pt>
                <c:pt idx="2">
                  <c:v>Компании потребуется 4-6 месяцев</c:v>
                </c:pt>
                <c:pt idx="3">
                  <c:v>Компании потребуется более 6 месяцев</c:v>
                </c:pt>
                <c:pt idx="4">
                  <c:v>Компания не сможет вернуться к докризисным показателям</c:v>
                </c:pt>
                <c:pt idx="5">
                  <c:v>Компания, скорее всего, закроется</c:v>
                </c:pt>
                <c:pt idx="6">
                  <c:v>Другое</c:v>
                </c:pt>
              </c:strCache>
            </c:strRef>
          </c:cat>
          <c:val>
            <c:numRef>
              <c:f>Лист1!$B$2:$B$8</c:f>
              <c:numCache>
                <c:formatCode>###0.0%</c:formatCode>
                <c:ptCount val="7"/>
                <c:pt idx="0">
                  <c:v>0.31300000000000006</c:v>
                </c:pt>
                <c:pt idx="1">
                  <c:v>0.255</c:v>
                </c:pt>
                <c:pt idx="2">
                  <c:v>0.15600000000000003</c:v>
                </c:pt>
                <c:pt idx="3">
                  <c:v>0.18900000000000003</c:v>
                </c:pt>
                <c:pt idx="4">
                  <c:v>2.9000000000000001E-2</c:v>
                </c:pt>
                <c:pt idx="5">
                  <c:v>8.0000000000000019E-3</c:v>
                </c:pt>
                <c:pt idx="6">
                  <c:v>4.9000000000000009E-2</c:v>
                </c:pt>
              </c:numCache>
            </c:numRef>
          </c:val>
          <c:extLst>
            <c:ext xmlns:c16="http://schemas.microsoft.com/office/drawing/2014/chart" uri="{C3380CC4-5D6E-409C-BE32-E72D297353CC}">
              <c16:uniqueId val="{00000003-5C0A-411A-99F7-93716E3E01DE}"/>
            </c:ext>
          </c:extLst>
        </c:ser>
        <c:dLbls>
          <c:showLegendKey val="0"/>
          <c:showVal val="0"/>
          <c:showCatName val="0"/>
          <c:showSerName val="0"/>
          <c:showPercent val="0"/>
          <c:showBubbleSize val="0"/>
        </c:dLbls>
        <c:gapWidth val="75"/>
        <c:overlap val="100"/>
        <c:axId val="209709696"/>
        <c:axId val="209740160"/>
      </c:barChart>
      <c:catAx>
        <c:axId val="209709696"/>
        <c:scaling>
          <c:orientation val="maxMin"/>
        </c:scaling>
        <c:delete val="0"/>
        <c:axPos val="l"/>
        <c:numFmt formatCode="General" sourceLinked="0"/>
        <c:majorTickMark val="none"/>
        <c:minorTickMark val="none"/>
        <c:tickLblPos val="nextTo"/>
        <c:crossAx val="209740160"/>
        <c:crosses val="autoZero"/>
        <c:auto val="1"/>
        <c:lblAlgn val="ctr"/>
        <c:lblOffset val="100"/>
        <c:noMultiLvlLbl val="0"/>
      </c:catAx>
      <c:valAx>
        <c:axId val="209740160"/>
        <c:scaling>
          <c:orientation val="minMax"/>
        </c:scaling>
        <c:delete val="0"/>
        <c:axPos val="t"/>
        <c:numFmt formatCode="###0.0%" sourceLinked="1"/>
        <c:majorTickMark val="none"/>
        <c:minorTickMark val="none"/>
        <c:tickLblPos val="none"/>
        <c:crossAx val="209709696"/>
        <c:crosses val="autoZero"/>
        <c:crossBetween val="between"/>
      </c:valAx>
    </c:plotArea>
    <c:plotVisOnly val="1"/>
    <c:dispBlanksAs val="gap"/>
    <c:showDLblsOverMax val="0"/>
  </c:chart>
  <c:txPr>
    <a:bodyPr/>
    <a:lstStyle/>
    <a:p>
      <a:pPr>
        <a:defRPr>
          <a:latin typeface="Garamond"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200"/>
            </a:pPr>
            <a:r>
              <a:rPr lang="ru-RU"/>
              <a:t>Сводный Индекс</a:t>
            </a:r>
            <a:r>
              <a:rPr lang="ru-RU" baseline="0"/>
              <a:t> деловой среды РСПП</a:t>
            </a:r>
            <a:endParaRPr lang="ru-RU"/>
          </a:p>
        </c:rich>
      </c:tx>
      <c:layout>
        <c:manualLayout>
          <c:xMode val="edge"/>
          <c:yMode val="edge"/>
          <c:x val="4.7711661606679924E-2"/>
          <c:y val="4.9792531120332807E-2"/>
        </c:manualLayout>
      </c:layout>
      <c:overlay val="0"/>
    </c:title>
    <c:autoTitleDeleted val="0"/>
    <c:plotArea>
      <c:layout/>
      <c:barChart>
        <c:barDir val="col"/>
        <c:grouping val="clustered"/>
        <c:varyColors val="0"/>
        <c:ser>
          <c:idx val="0"/>
          <c:order val="0"/>
          <c:tx>
            <c:strRef>
              <c:f>Лист1!$B$1</c:f>
              <c:strCache>
                <c:ptCount val="1"/>
                <c:pt idx="0">
                  <c:v>Сводный Индекс</c:v>
                </c:pt>
              </c:strCache>
            </c:strRef>
          </c:tx>
          <c:spPr>
            <a:solidFill>
              <a:schemeClr val="accent2">
                <a:lumMod val="20000"/>
                <a:lumOff val="80000"/>
              </a:schemeClr>
            </a:solidFill>
          </c:spPr>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Лист1!$A$2:$A$13</c:f>
              <c:strCache>
                <c:ptCount val="12"/>
                <c:pt idx="0">
                  <c:v>Октябрь </c:v>
                </c:pt>
                <c:pt idx="1">
                  <c:v>Ноябрь</c:v>
                </c:pt>
                <c:pt idx="2">
                  <c:v>Декабрь</c:v>
                </c:pt>
                <c:pt idx="3">
                  <c:v>Январь</c:v>
                </c:pt>
                <c:pt idx="4">
                  <c:v>Февраль</c:v>
                </c:pt>
                <c:pt idx="5">
                  <c:v>Март</c:v>
                </c:pt>
                <c:pt idx="6">
                  <c:v>Апрель</c:v>
                </c:pt>
                <c:pt idx="7">
                  <c:v>Май</c:v>
                </c:pt>
                <c:pt idx="8">
                  <c:v>Июнь</c:v>
                </c:pt>
                <c:pt idx="9">
                  <c:v>Июль</c:v>
                </c:pt>
                <c:pt idx="10">
                  <c:v>Август</c:v>
                </c:pt>
                <c:pt idx="11">
                  <c:v>Сентябрь</c:v>
                </c:pt>
              </c:strCache>
            </c:strRef>
          </c:cat>
          <c:val>
            <c:numRef>
              <c:f>Лист1!$B$2:$B$13</c:f>
              <c:numCache>
                <c:formatCode>General</c:formatCode>
                <c:ptCount val="12"/>
                <c:pt idx="0">
                  <c:v>48.3</c:v>
                </c:pt>
                <c:pt idx="1">
                  <c:v>47.4</c:v>
                </c:pt>
                <c:pt idx="2">
                  <c:v>48.1</c:v>
                </c:pt>
                <c:pt idx="3">
                  <c:v>48.1</c:v>
                </c:pt>
                <c:pt idx="4">
                  <c:v>46.5</c:v>
                </c:pt>
                <c:pt idx="5">
                  <c:v>43.7</c:v>
                </c:pt>
                <c:pt idx="6">
                  <c:v>34.6</c:v>
                </c:pt>
                <c:pt idx="7">
                  <c:v>35.9</c:v>
                </c:pt>
                <c:pt idx="8">
                  <c:v>39.4</c:v>
                </c:pt>
                <c:pt idx="9">
                  <c:v>41.7</c:v>
                </c:pt>
                <c:pt idx="10">
                  <c:v>44.3</c:v>
                </c:pt>
                <c:pt idx="11">
                  <c:v>46.4</c:v>
                </c:pt>
              </c:numCache>
            </c:numRef>
          </c:val>
          <c:extLst>
            <c:ext xmlns:c16="http://schemas.microsoft.com/office/drawing/2014/chart" uri="{C3380CC4-5D6E-409C-BE32-E72D297353CC}">
              <c16:uniqueId val="{00000000-4802-4A1E-A3BA-CB0224F3CDA8}"/>
            </c:ext>
          </c:extLst>
        </c:ser>
        <c:dLbls>
          <c:showLegendKey val="0"/>
          <c:showVal val="1"/>
          <c:showCatName val="0"/>
          <c:showSerName val="0"/>
          <c:showPercent val="0"/>
          <c:showBubbleSize val="0"/>
        </c:dLbls>
        <c:gapWidth val="150"/>
        <c:overlap val="-25"/>
        <c:axId val="88045056"/>
        <c:axId val="88046592"/>
      </c:barChart>
      <c:catAx>
        <c:axId val="88045056"/>
        <c:scaling>
          <c:orientation val="minMax"/>
        </c:scaling>
        <c:delete val="0"/>
        <c:axPos val="b"/>
        <c:numFmt formatCode="General" sourceLinked="0"/>
        <c:majorTickMark val="none"/>
        <c:minorTickMark val="none"/>
        <c:tickLblPos val="nextTo"/>
        <c:txPr>
          <a:bodyPr/>
          <a:lstStyle/>
          <a:p>
            <a:pPr>
              <a:defRPr sz="900"/>
            </a:pPr>
            <a:endParaRPr lang="ru-RU"/>
          </a:p>
        </c:txPr>
        <c:crossAx val="88046592"/>
        <c:crosses val="autoZero"/>
        <c:auto val="1"/>
        <c:lblAlgn val="ctr"/>
        <c:lblOffset val="100"/>
        <c:noMultiLvlLbl val="0"/>
      </c:catAx>
      <c:valAx>
        <c:axId val="88046592"/>
        <c:scaling>
          <c:orientation val="minMax"/>
          <c:max val="60"/>
          <c:min val="0"/>
        </c:scaling>
        <c:delete val="1"/>
        <c:axPos val="l"/>
        <c:numFmt formatCode="General" sourceLinked="1"/>
        <c:majorTickMark val="none"/>
        <c:minorTickMark val="none"/>
        <c:tickLblPos val="none"/>
        <c:crossAx val="88045056"/>
        <c:crosses val="autoZero"/>
        <c:crossBetween val="between"/>
        <c:majorUnit val="10"/>
      </c:valAx>
    </c:plotArea>
    <c:plotVisOnly val="1"/>
    <c:dispBlanksAs val="gap"/>
    <c:showDLblsOverMax val="0"/>
  </c:chart>
  <c:spPr>
    <a:ln>
      <a:noFill/>
    </a:ln>
  </c:spPr>
  <c:txPr>
    <a:bodyPr/>
    <a:lstStyle/>
    <a:p>
      <a:pPr>
        <a:defRPr>
          <a:latin typeface="Georgia" panose="02040502050405020303"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sz="1200"/>
            </a:pPr>
            <a:r>
              <a:rPr lang="ru-RU" sz="1200" baseline="0"/>
              <a:t>Влияние сложившейся экономической ситуации на работу компаний</a:t>
            </a:r>
            <a:endParaRPr lang="ru-RU" sz="1200"/>
          </a:p>
        </c:rich>
      </c:tx>
      <c:overlay val="0"/>
    </c:title>
    <c:autoTitleDeleted val="0"/>
    <c:plotArea>
      <c:layout>
        <c:manualLayout>
          <c:layoutTarget val="inner"/>
          <c:xMode val="edge"/>
          <c:yMode val="edge"/>
          <c:x val="0"/>
          <c:y val="0.12616126472563022"/>
          <c:w val="1"/>
          <c:h val="0.53275346395654033"/>
        </c:manualLayout>
      </c:layout>
      <c:barChart>
        <c:barDir val="bar"/>
        <c:grouping val="percentStacked"/>
        <c:varyColors val="0"/>
        <c:ser>
          <c:idx val="0"/>
          <c:order val="0"/>
          <c:tx>
            <c:strRef>
              <c:f>Лист1!$B$1</c:f>
              <c:strCache>
                <c:ptCount val="1"/>
                <c:pt idx="0">
                  <c:v>Негативное влияние на работу компаний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###0.0%</c:formatCode>
                <c:ptCount val="1"/>
                <c:pt idx="0">
                  <c:v>0.41200000000000003</c:v>
                </c:pt>
              </c:numCache>
            </c:numRef>
          </c:val>
          <c:extLst>
            <c:ext xmlns:c16="http://schemas.microsoft.com/office/drawing/2014/chart" uri="{C3380CC4-5D6E-409C-BE32-E72D297353CC}">
              <c16:uniqueId val="{00000000-5D15-45E8-86A2-BEAEC3F3237F}"/>
            </c:ext>
          </c:extLst>
        </c:ser>
        <c:ser>
          <c:idx val="1"/>
          <c:order val="1"/>
          <c:tx>
            <c:strRef>
              <c:f>Лист1!$C$1</c:f>
              <c:strCache>
                <c:ptCount val="1"/>
                <c:pt idx="0">
                  <c:v>Негативные последствия не сказались на компании, но возникнут в ближайшей перспективе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###0.0%</c:formatCode>
                <c:ptCount val="1"/>
                <c:pt idx="0">
                  <c:v>0.251</c:v>
                </c:pt>
              </c:numCache>
            </c:numRef>
          </c:val>
          <c:extLst>
            <c:ext xmlns:c16="http://schemas.microsoft.com/office/drawing/2014/chart" uri="{C3380CC4-5D6E-409C-BE32-E72D297353CC}">
              <c16:uniqueId val="{00000001-5D15-45E8-86A2-BEAEC3F3237F}"/>
            </c:ext>
          </c:extLst>
        </c:ser>
        <c:ser>
          <c:idx val="2"/>
          <c:order val="2"/>
          <c:tx>
            <c:strRef>
              <c:f>Лист1!$D$1</c:f>
              <c:strCache>
                <c:ptCount val="1"/>
                <c:pt idx="0">
                  <c:v>Негативные последствия не сказались и не прогнозируются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Лист1!$D$2</c:f>
              <c:numCache>
                <c:formatCode>###0.0%</c:formatCode>
                <c:ptCount val="1"/>
                <c:pt idx="0">
                  <c:v>0.33700000000000008</c:v>
                </c:pt>
              </c:numCache>
            </c:numRef>
          </c:val>
          <c:extLst>
            <c:ext xmlns:c16="http://schemas.microsoft.com/office/drawing/2014/chart" uri="{C3380CC4-5D6E-409C-BE32-E72D297353CC}">
              <c16:uniqueId val="{00000002-5D15-45E8-86A2-BEAEC3F3237F}"/>
            </c:ext>
          </c:extLst>
        </c:ser>
        <c:dLbls>
          <c:showLegendKey val="0"/>
          <c:showVal val="1"/>
          <c:showCatName val="0"/>
          <c:showSerName val="0"/>
          <c:showPercent val="0"/>
          <c:showBubbleSize val="0"/>
        </c:dLbls>
        <c:gapWidth val="95"/>
        <c:overlap val="100"/>
        <c:axId val="209663104"/>
        <c:axId val="209664640"/>
      </c:barChart>
      <c:catAx>
        <c:axId val="209663104"/>
        <c:scaling>
          <c:orientation val="minMax"/>
        </c:scaling>
        <c:delete val="1"/>
        <c:axPos val="l"/>
        <c:numFmt formatCode="General" sourceLinked="0"/>
        <c:majorTickMark val="none"/>
        <c:minorTickMark val="none"/>
        <c:tickLblPos val="none"/>
        <c:crossAx val="209664640"/>
        <c:crosses val="autoZero"/>
        <c:auto val="1"/>
        <c:lblAlgn val="ctr"/>
        <c:lblOffset val="100"/>
        <c:noMultiLvlLbl val="0"/>
      </c:catAx>
      <c:valAx>
        <c:axId val="209664640"/>
        <c:scaling>
          <c:orientation val="minMax"/>
        </c:scaling>
        <c:delete val="1"/>
        <c:axPos val="b"/>
        <c:numFmt formatCode="0%" sourceLinked="0"/>
        <c:majorTickMark val="out"/>
        <c:minorTickMark val="none"/>
        <c:tickLblPos val="none"/>
        <c:crossAx val="209663104"/>
        <c:crosses val="autoZero"/>
        <c:crossBetween val="between"/>
      </c:valAx>
    </c:plotArea>
    <c:legend>
      <c:legendPos val="t"/>
      <c:layout>
        <c:manualLayout>
          <c:xMode val="edge"/>
          <c:yMode val="edge"/>
          <c:x val="0"/>
          <c:y val="0.55555555555555569"/>
          <c:w val="0.98831938569662248"/>
          <c:h val="0.44444444444444442"/>
        </c:manualLayout>
      </c:layout>
      <c:overlay val="0"/>
      <c:txPr>
        <a:bodyPr/>
        <a:lstStyle/>
        <a:p>
          <a:pPr>
            <a:defRPr sz="1100"/>
          </a:pPr>
          <a:endParaRPr lang="ru-RU"/>
        </a:p>
      </c:txPr>
    </c:legend>
    <c:plotVisOnly val="1"/>
    <c:dispBlanksAs val="gap"/>
    <c:showDLblsOverMax val="0"/>
  </c:chart>
  <c:txPr>
    <a:bodyPr/>
    <a:lstStyle/>
    <a:p>
      <a:pPr>
        <a:defRPr>
          <a:latin typeface="Garamond"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sz="1200"/>
            </a:pPr>
            <a:r>
              <a:rPr lang="ru-RU" sz="1200"/>
              <a:t>Уровень финансового воздействия</a:t>
            </a:r>
            <a:r>
              <a:rPr lang="ru-RU" sz="1200" baseline="0"/>
              <a:t> на компании из-за сбоев деловых операций</a:t>
            </a:r>
            <a:endParaRPr lang="ru-RU" sz="1200"/>
          </a:p>
        </c:rich>
      </c:tx>
      <c:layout>
        <c:manualLayout>
          <c:xMode val="edge"/>
          <c:yMode val="edge"/>
          <c:x val="0.12697935806105401"/>
          <c:y val="4.6354971178841874E-3"/>
        </c:manualLayout>
      </c:layout>
      <c:overlay val="0"/>
    </c:title>
    <c:autoTitleDeleted val="0"/>
    <c:plotArea>
      <c:layout>
        <c:manualLayout>
          <c:layoutTarget val="inner"/>
          <c:xMode val="edge"/>
          <c:yMode val="edge"/>
          <c:x val="2.42611380679312E-2"/>
          <c:y val="0.28023207625362617"/>
          <c:w val="0.95147772386413754"/>
          <c:h val="0.57546170365068061"/>
        </c:manualLayout>
      </c:layout>
      <c:barChart>
        <c:barDir val="col"/>
        <c:grouping val="clustered"/>
        <c:varyColors val="0"/>
        <c:ser>
          <c:idx val="0"/>
          <c:order val="0"/>
          <c:tx>
            <c:strRef>
              <c:f>Лист1!$B$1</c:f>
              <c:strCache>
                <c:ptCount val="1"/>
                <c:pt idx="0">
                  <c:v>Столбец1</c:v>
                </c:pt>
              </c:strCache>
            </c:strRef>
          </c:tx>
          <c:invertIfNegative val="0"/>
          <c:dPt>
            <c:idx val="3"/>
            <c:invertIfNegative val="0"/>
            <c:bubble3D val="0"/>
            <c:spPr>
              <a:solidFill>
                <a:schemeClr val="accent2"/>
              </a:solidFill>
            </c:spPr>
            <c:extLst>
              <c:ext xmlns:c16="http://schemas.microsoft.com/office/drawing/2014/chart" uri="{C3380CC4-5D6E-409C-BE32-E72D297353CC}">
                <c16:uniqueId val="{00000001-D892-426E-8EE1-AAF67899D467}"/>
              </c:ext>
            </c:extLst>
          </c:dPt>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Высокий</c:v>
                </c:pt>
                <c:pt idx="1">
                  <c:v>Средний</c:v>
                </c:pt>
                <c:pt idx="2">
                  <c:v>Низкий</c:v>
                </c:pt>
                <c:pt idx="3">
                  <c:v>Неприменимо</c:v>
                </c:pt>
              </c:strCache>
            </c:strRef>
          </c:cat>
          <c:val>
            <c:numRef>
              <c:f>Лист1!$B$2:$B$5</c:f>
              <c:numCache>
                <c:formatCode>###0.0%</c:formatCode>
                <c:ptCount val="4"/>
                <c:pt idx="0">
                  <c:v>0.456126828446627</c:v>
                </c:pt>
                <c:pt idx="1">
                  <c:v>0.35240264840507185</c:v>
                </c:pt>
                <c:pt idx="2">
                  <c:v>8.8734969574239916E-2</c:v>
                </c:pt>
                <c:pt idx="3">
                  <c:v>0.10273555357406279</c:v>
                </c:pt>
              </c:numCache>
            </c:numRef>
          </c:val>
          <c:extLst>
            <c:ext xmlns:c16="http://schemas.microsoft.com/office/drawing/2014/chart" uri="{C3380CC4-5D6E-409C-BE32-E72D297353CC}">
              <c16:uniqueId val="{00000002-D892-426E-8EE1-AAF67899D467}"/>
            </c:ext>
          </c:extLst>
        </c:ser>
        <c:dLbls>
          <c:showLegendKey val="0"/>
          <c:showVal val="1"/>
          <c:showCatName val="0"/>
          <c:showSerName val="0"/>
          <c:showPercent val="0"/>
          <c:showBubbleSize val="0"/>
        </c:dLbls>
        <c:gapWidth val="150"/>
        <c:overlap val="-25"/>
        <c:axId val="98307456"/>
        <c:axId val="98313344"/>
      </c:barChart>
      <c:catAx>
        <c:axId val="98307456"/>
        <c:scaling>
          <c:orientation val="minMax"/>
        </c:scaling>
        <c:delete val="0"/>
        <c:axPos val="b"/>
        <c:numFmt formatCode="General" sourceLinked="0"/>
        <c:majorTickMark val="none"/>
        <c:minorTickMark val="none"/>
        <c:tickLblPos val="nextTo"/>
        <c:crossAx val="98313344"/>
        <c:crosses val="autoZero"/>
        <c:auto val="1"/>
        <c:lblAlgn val="ctr"/>
        <c:lblOffset val="100"/>
        <c:noMultiLvlLbl val="0"/>
      </c:catAx>
      <c:valAx>
        <c:axId val="98313344"/>
        <c:scaling>
          <c:orientation val="minMax"/>
        </c:scaling>
        <c:delete val="1"/>
        <c:axPos val="l"/>
        <c:numFmt formatCode="###0.0%" sourceLinked="1"/>
        <c:majorTickMark val="out"/>
        <c:minorTickMark val="none"/>
        <c:tickLblPos val="none"/>
        <c:crossAx val="98307456"/>
        <c:crosses val="autoZero"/>
        <c:crossBetween val="between"/>
      </c:valAx>
    </c:plotArea>
    <c:plotVisOnly val="1"/>
    <c:dispBlanksAs val="zero"/>
    <c:showDLblsOverMax val="0"/>
  </c:chart>
  <c:txPr>
    <a:bodyPr/>
    <a:lstStyle/>
    <a:p>
      <a:pPr>
        <a:defRPr>
          <a:latin typeface="Garamond"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Оценка</a:t>
            </a:r>
            <a:r>
              <a:rPr lang="ru-RU" sz="1200" baseline="0"/>
              <a:t> финансового положения компаний</a:t>
            </a:r>
          </a:p>
        </c:rich>
      </c:tx>
      <c:layout>
        <c:manualLayout>
          <c:xMode val="edge"/>
          <c:yMode val="edge"/>
          <c:x val="2.3239939732079856E-2"/>
          <c:y val="3.1494637830904622E-2"/>
        </c:manualLayout>
      </c:layout>
      <c:overlay val="0"/>
    </c:title>
    <c:autoTitleDeleted val="0"/>
    <c:plotArea>
      <c:layout>
        <c:manualLayout>
          <c:layoutTarget val="inner"/>
          <c:xMode val="edge"/>
          <c:yMode val="edge"/>
          <c:x val="0"/>
          <c:y val="0.14636595932979221"/>
          <c:w val="0.97331636244036557"/>
          <c:h val="0.69416460679964676"/>
        </c:manualLayout>
      </c:layout>
      <c:barChart>
        <c:barDir val="col"/>
        <c:grouping val="clustered"/>
        <c:varyColors val="0"/>
        <c:ser>
          <c:idx val="0"/>
          <c:order val="0"/>
          <c:tx>
            <c:strRef>
              <c:f>Лист1!$B$1</c:f>
              <c:strCache>
                <c:ptCount val="1"/>
                <c:pt idx="0">
                  <c:v>Ряд 1</c:v>
                </c:pt>
              </c:strCache>
            </c:strRef>
          </c:tx>
          <c:spPr>
            <a:solidFill>
              <a:srgbClr val="C0504D"/>
            </a:solidFill>
          </c:spPr>
          <c:invertIfNegative val="0"/>
          <c:dPt>
            <c:idx val="4"/>
            <c:invertIfNegative val="0"/>
            <c:bubble3D val="0"/>
            <c:spPr>
              <a:solidFill>
                <a:srgbClr val="C0504D">
                  <a:alpha val="50000"/>
                </a:srgbClr>
              </a:solidFill>
            </c:spPr>
            <c:extLst>
              <c:ext xmlns:c16="http://schemas.microsoft.com/office/drawing/2014/chart" uri="{C3380CC4-5D6E-409C-BE32-E72D297353CC}">
                <c16:uniqueId val="{00000001-B4ED-4158-8A20-437E66BB2C41}"/>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1 - критическое финансовое положение</c:v>
                </c:pt>
                <c:pt idx="1">
                  <c:v>2</c:v>
                </c:pt>
                <c:pt idx="2">
                  <c:v>3</c:v>
                </c:pt>
                <c:pt idx="3">
                  <c:v>4 - нормальное финансовое положение</c:v>
                </c:pt>
                <c:pt idx="4">
                  <c:v>5 - нет долговых обязательств</c:v>
                </c:pt>
              </c:strCache>
            </c:strRef>
          </c:cat>
          <c:val>
            <c:numRef>
              <c:f>Лист1!$B$2:$B$6</c:f>
              <c:numCache>
                <c:formatCode>###0.0%</c:formatCode>
                <c:ptCount val="5"/>
                <c:pt idx="0">
                  <c:v>0.20887080204581768</c:v>
                </c:pt>
                <c:pt idx="1">
                  <c:v>0.13032420222802912</c:v>
                </c:pt>
                <c:pt idx="2">
                  <c:v>0.15482612776632848</c:v>
                </c:pt>
                <c:pt idx="3">
                  <c:v>0.29942044871147228</c:v>
                </c:pt>
                <c:pt idx="4">
                  <c:v>0.20655841924835472</c:v>
                </c:pt>
              </c:numCache>
            </c:numRef>
          </c:val>
          <c:extLst>
            <c:ext xmlns:c16="http://schemas.microsoft.com/office/drawing/2014/chart" uri="{C3380CC4-5D6E-409C-BE32-E72D297353CC}">
              <c16:uniqueId val="{00000002-B4ED-4158-8A20-437E66BB2C41}"/>
            </c:ext>
          </c:extLst>
        </c:ser>
        <c:dLbls>
          <c:showLegendKey val="0"/>
          <c:showVal val="1"/>
          <c:showCatName val="0"/>
          <c:showSerName val="0"/>
          <c:showPercent val="0"/>
          <c:showBubbleSize val="0"/>
        </c:dLbls>
        <c:gapWidth val="75"/>
        <c:axId val="98076160"/>
        <c:axId val="98077696"/>
      </c:barChart>
      <c:catAx>
        <c:axId val="98076160"/>
        <c:scaling>
          <c:orientation val="minMax"/>
        </c:scaling>
        <c:delete val="0"/>
        <c:axPos val="b"/>
        <c:numFmt formatCode="General" sourceLinked="0"/>
        <c:majorTickMark val="none"/>
        <c:minorTickMark val="none"/>
        <c:tickLblPos val="nextTo"/>
        <c:crossAx val="98077696"/>
        <c:crosses val="autoZero"/>
        <c:auto val="1"/>
        <c:lblAlgn val="ctr"/>
        <c:lblOffset val="100"/>
        <c:noMultiLvlLbl val="0"/>
      </c:catAx>
      <c:valAx>
        <c:axId val="98077696"/>
        <c:scaling>
          <c:orientation val="minMax"/>
        </c:scaling>
        <c:delete val="1"/>
        <c:axPos val="l"/>
        <c:numFmt formatCode="0%" sourceLinked="0"/>
        <c:majorTickMark val="out"/>
        <c:minorTickMark val="none"/>
        <c:tickLblPos val="none"/>
        <c:crossAx val="98076160"/>
        <c:crosses val="autoZero"/>
        <c:crossBetween val="between"/>
      </c:valAx>
    </c:plotArea>
    <c:plotVisOnly val="1"/>
    <c:dispBlanksAs val="gap"/>
    <c:showDLblsOverMax val="0"/>
  </c:chart>
  <c:txPr>
    <a:bodyPr/>
    <a:lstStyle/>
    <a:p>
      <a:pPr>
        <a:defRPr sz="1000">
          <a:latin typeface="Garamond" panose="02020404030301010803"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E6DEC-1342-4FC6-AC15-DF2889769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50</Pages>
  <Words>9868</Words>
  <Characters>56248</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Яковлева Любовь Геннадиевна</dc:creator>
  <cp:lastModifiedBy>nik maria</cp:lastModifiedBy>
  <cp:revision>38</cp:revision>
  <dcterms:created xsi:type="dcterms:W3CDTF">2020-10-02T18:39:00Z</dcterms:created>
  <dcterms:modified xsi:type="dcterms:W3CDTF">2020-10-06T08:53:00Z</dcterms:modified>
</cp:coreProperties>
</file>