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D4" w:rsidRDefault="005619AA">
      <w:r>
        <w:rPr>
          <w:noProof/>
        </w:rPr>
        <w:pict>
          <v:rect id="officeArt object" o:spid="_x0000_s1026" alt="Директору Центрального экономико-математического института РАН, член-корреспонденту РАН, профессору, д.э.н.…" style="position:absolute;margin-left:317.9pt;margin-top:49.5pt;width:200.35pt;height:224.25pt;z-index:251661312;visibility:visible;mso-wrap-distance-left:0;mso-wrap-distance-right:0;mso-position-horizontal-relative:margin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" strokecolor="white">
            <v:stroke joinstyle="round"/>
            <v:textbox inset="3.6pt,,3.6pt">
              <w:txbxContent>
                <w:p w:rsidR="00A07596" w:rsidRPr="00A07596" w:rsidRDefault="00A07596" w:rsidP="00A0759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759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Председателю Бюджетно-финансового комитета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A07596">
                    <w:rPr>
                      <w:rFonts w:ascii="Times New Roman" w:hAnsi="Times New Roman"/>
                      <w:sz w:val="28"/>
                      <w:szCs w:val="28"/>
                    </w:rPr>
                    <w:t>аконодательного Собрания Санкт-Петербурга</w:t>
                  </w:r>
                </w:p>
                <w:p w:rsidR="00A07596" w:rsidRPr="00A07596" w:rsidRDefault="00A07596" w:rsidP="00A07596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A07596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М.И.Барышникову </w:t>
                  </w:r>
                </w:p>
                <w:p w:rsidR="00A07596" w:rsidRPr="00A07596" w:rsidRDefault="00A07596" w:rsidP="00A07596">
                  <w:pPr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07596" w:rsidRPr="00A07596" w:rsidRDefault="00A07596" w:rsidP="00A0759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7596">
                    <w:rPr>
                      <w:rFonts w:ascii="Times New Roman" w:hAnsi="Times New Roman"/>
                      <w:sz w:val="28"/>
                      <w:szCs w:val="28"/>
                    </w:rPr>
                    <w:t>Исаакиевская пл., 6</w:t>
                  </w:r>
                </w:p>
                <w:p w:rsidR="004D21D4" w:rsidRDefault="00A07596" w:rsidP="00A07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7596">
                    <w:rPr>
                      <w:rFonts w:ascii="Times New Roman" w:hAnsi="Times New Roman"/>
                      <w:sz w:val="28"/>
                      <w:szCs w:val="28"/>
                    </w:rPr>
                    <w:t>Санкт-Петербург, 190107</w:t>
                  </w:r>
                </w:p>
              </w:txbxContent>
            </v:textbox>
            <w10:wrap anchorx="margin" anchory="page"/>
          </v:rect>
        </w:pict>
      </w:r>
      <w:r>
        <w:rPr>
          <w:noProof/>
        </w:rPr>
        <w:pict>
          <v:rect id="_x0000_s1028" style="position:absolute;margin-left:317.5pt;margin-top:28.4pt;width:212.2pt;height:141.8pt;z-index:251660288;visibility:visible;mso-wrap-distance-left:0;mso-wrap-distance-right:0;mso-position-vertical-relative:line" strokecolor="white" strokeweight=".8pt">
            <v:stroke joinstyle="round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Институт  нового…" style="position:absolute;margin-left:64.15pt;margin-top:-3.15pt;width:218.45pt;height:58.45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" filled="f" stroked="f" strokeweight="1pt">
            <v:stroke miterlimit="4"/>
            <v:textbox inset="1.2699mm,1.2699mm,1.2699mm,1.2699mm">
              <w:txbxContent>
                <w:p w:rsidR="004D21D4" w:rsidRDefault="00012E69">
                  <w:pPr>
                    <w:spacing w:after="0" w:line="240" w:lineRule="auto"/>
                    <w:rPr>
                      <w:b/>
                      <w:bCs/>
                      <w:caps/>
                      <w:color w:val="000066"/>
                      <w:sz w:val="28"/>
                      <w:szCs w:val="28"/>
                      <w:u w:color="000066"/>
                    </w:rPr>
                  </w:pPr>
                  <w:r>
                    <w:rPr>
                      <w:b/>
                      <w:bCs/>
                      <w:caps/>
                      <w:color w:val="000066"/>
                      <w:sz w:val="28"/>
                      <w:szCs w:val="28"/>
                      <w:u w:color="000066"/>
                    </w:rPr>
                    <w:t>Институт  нового</w:t>
                  </w:r>
                </w:p>
                <w:p w:rsidR="004D21D4" w:rsidRDefault="00012E69">
                  <w:pPr>
                    <w:spacing w:after="0" w:line="240" w:lineRule="auto"/>
                    <w:rPr>
                      <w:b/>
                      <w:bCs/>
                      <w:caps/>
                      <w:color w:val="000066"/>
                      <w:sz w:val="28"/>
                      <w:szCs w:val="28"/>
                      <w:u w:color="000066"/>
                    </w:rPr>
                  </w:pPr>
                  <w:r>
                    <w:rPr>
                      <w:b/>
                      <w:bCs/>
                      <w:caps/>
                      <w:color w:val="000066"/>
                      <w:sz w:val="28"/>
                      <w:szCs w:val="28"/>
                      <w:u w:color="000066"/>
                    </w:rPr>
                    <w:t>индустриального  развития</w:t>
                  </w:r>
                </w:p>
                <w:p w:rsidR="004D21D4" w:rsidRDefault="00012E69">
                  <w:pPr>
                    <w:spacing w:after="0" w:line="240" w:lineRule="auto"/>
                  </w:pPr>
                  <w:r>
                    <w:rPr>
                      <w:b/>
                      <w:bCs/>
                      <w:caps/>
                      <w:color w:val="000066"/>
                      <w:sz w:val="28"/>
                      <w:szCs w:val="28"/>
                      <w:u w:color="000066"/>
                    </w:rPr>
                    <w:t xml:space="preserve">(инир) </w:t>
                  </w:r>
                  <w:r>
                    <w:rPr>
                      <w:b/>
                      <w:bCs/>
                      <w:caps/>
                      <w:color w:val="000066"/>
                      <w:sz w:val="24"/>
                      <w:szCs w:val="24"/>
                      <w:u w:color="000066"/>
                    </w:rPr>
                    <w:t>им</w:t>
                  </w:r>
                  <w:r>
                    <w:rPr>
                      <w:b/>
                      <w:bCs/>
                      <w:caps/>
                      <w:color w:val="000066"/>
                      <w:sz w:val="28"/>
                      <w:szCs w:val="28"/>
                      <w:u w:color="000066"/>
                    </w:rPr>
                    <w:t xml:space="preserve">. С.Ю. Витте  </w:t>
                  </w:r>
                </w:p>
              </w:txbxContent>
            </v:textbox>
          </v:shape>
        </w:pict>
      </w:r>
      <w:r w:rsidR="00012E69">
        <w:rPr>
          <w:noProof/>
        </w:rPr>
        <w:drawing>
          <wp:inline distT="0" distB="0" distL="0" distR="0">
            <wp:extent cx="3953961" cy="1056811"/>
            <wp:effectExtent l="0" t="0" r="0" b="0"/>
            <wp:docPr id="1073741827" name="officeArt object" descr="logo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.tif" descr="logo.t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961" cy="1056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D21D4" w:rsidRDefault="00012E6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197101, Санкт-Петербург, ул. Большая Монетная, 16, тел.: +7 (812) 313-8268, </w:t>
      </w:r>
    </w:p>
    <w:p w:rsidR="004D21D4" w:rsidRDefault="00012E69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125009, Москва, ул. Тверская, д. 22 «В», тел./факс: +7 (495) 624-4949,</w:t>
      </w:r>
    </w:p>
    <w:p w:rsidR="004D21D4" w:rsidRPr="00012E69" w:rsidRDefault="00012E69">
      <w:pPr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>+7 (495) 787-7460, e-mail: inir@inir.ru, http://www.inir.ru</w:t>
      </w:r>
    </w:p>
    <w:p w:rsidR="004D21D4" w:rsidRDefault="004D21D4">
      <w:pPr>
        <w:rPr>
          <w:lang w:val="en-US"/>
        </w:rPr>
      </w:pPr>
    </w:p>
    <w:p w:rsidR="004D21D4" w:rsidRDefault="00012E69">
      <w:pPr>
        <w:rPr>
          <w:b/>
          <w:bCs/>
        </w:rPr>
      </w:pPr>
      <w:r>
        <w:rPr>
          <w:b/>
          <w:bCs/>
        </w:rPr>
        <w:t>«____»___________ 2023 г. №_____________</w:t>
      </w:r>
    </w:p>
    <w:p w:rsidR="00A07596" w:rsidRDefault="00A07596" w:rsidP="00A075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исх. № К5-12934/23 </w:t>
      </w:r>
    </w:p>
    <w:p w:rsidR="004D21D4" w:rsidRDefault="00A07596" w:rsidP="00A075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16.05.2023</w:t>
      </w:r>
    </w:p>
    <w:p w:rsidR="00A07596" w:rsidRDefault="00A0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7596" w:rsidRDefault="00A07596" w:rsidP="00A0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7596" w:rsidRDefault="00A07596" w:rsidP="00A07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Уважаемый Михаил Иванович!</w:t>
      </w:r>
    </w:p>
    <w:p w:rsidR="00A07596" w:rsidRDefault="00A07596" w:rsidP="00A07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7596" w:rsidRDefault="00A07596" w:rsidP="00A075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Предложение о поэтапном переходе на исчисление налога на имущество организаций</w:t>
      </w:r>
      <w:r>
        <w:rPr>
          <w:rFonts w:ascii="Times New Roman" w:hAnsi="Times New Roman"/>
          <w:sz w:val="28"/>
          <w:szCs w:val="28"/>
        </w:rPr>
        <w:t xml:space="preserve">, исходя их кадастровой стоимости объектов налогообложения, нами по Вашей просьбе оперативно – в предварительном порядке – рассмотрено привлеченными нами специалистами в сфере налогообложения, социально-экономического анализа, права; проведен экспресс-анализ действующих нормативно-правовых актов с учетом документов, регулирующих деятельность оборонно-промышленного комплекса (далее – ОПК), включая непубликуемые. </w:t>
      </w:r>
    </w:p>
    <w:p w:rsidR="00A07596" w:rsidRDefault="00A07596" w:rsidP="00A0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Сообщаем, что внесение вышеуказанных изменений в налоговое законодательство, по нашему мнению, в настоящее время нецелесообразно с учетом нижеследующих обстоятельств (не ограничиваясь). </w:t>
      </w:r>
    </w:p>
    <w:p w:rsidR="00A07596" w:rsidRDefault="00A07596" w:rsidP="00A07596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Действующим порядком определено, что налог на имущество организаций ОПК исчисляется и оплачивается, исходя из остаточной стоимости недвижимого имущества; при сем, учитывая высокую стоимость и значительную исторически доставшуюся этим предприятиям переразмеренность и конструктивную неэффективность используемых ими производственных площадей, квалифицируемых НК РФ (без фактической их специфичности) как обычная коммерческая недвижимость, такой подход является достаточно объективным и позволяет в основном нивелировать недостатки методики и упомянутых положений НК РФ, что позволяет, в свою очередь, предприятиям ОПК не проигрывать заведомо на рынках реализации продукции необоронного назначения в конкуренции с предприятиями с вновь вводимыми мощностями; кроме того, понятный расчет налогов на недвижимость, исходя из ее остаточной стоимости, позволяет предприятиям четко и на долговременной основе планировать свои затраты, в то время как </w:t>
      </w:r>
      <w:r>
        <w:rPr>
          <w:rFonts w:ascii="Times New Roman" w:hAnsi="Times New Roman"/>
          <w:sz w:val="28"/>
          <w:szCs w:val="28"/>
        </w:rPr>
        <w:lastRenderedPageBreak/>
        <w:t>методика определения кадастровой стоимости, основанная на применении методов массовой оценки, приводит к высокому риску «назначения» неожидаемых и необоснованных затрат, неопределенности, многочисленным судебным тяжбам об оспоривании размера кадастровой стоимости конкретных объектов недвижимости (данная практика уже породила специфический полукриминальный и все расширяющийся «бизнес» для компаний-оценщиков) и существенным судебным и иным расходам субъектов хозяйственной деятельности реального сектора экономики.</w:t>
      </w:r>
    </w:p>
    <w:p w:rsidR="00A07596" w:rsidRDefault="00A07596" w:rsidP="00A07596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к использованию кадастровой стоимости объектов недвижимости в качестве налоговой базы приведет к увеличению налоговой нагрузки на организации по налогу на имущество от 2,5 до 10 и более раз; данные затраты, с учетом их реально достаточно высокой доли в составе затрат компаний (и особенно – предприятий ОПК), не смогут не сказаться на стоимости выпускаемой ими продукции; для субъектов Федерации, специфичным для которых является более высокий уровень прочих производственных затрат (в частности, по оплате труда), к каковым относится и Санкт-Петербург, резкое увеличение налоговой нагрузки приведет к безусловной необходимости повышения стоимости продукции и утрате конкурентных преимуществ на основных рынках сбыта их продукции (в связи с отсутствием у подавляющего большинства предприятий нашего города иных, особо выделяющих их инновационных и т.п. преимуществ по сравнению с производствами в других регионах страны, что обусловлено спецификой современной индустриальной экономики). В то же  время основная  часть предприятий Санкт-Петербурга работает на двух рынках – в оборонной промышленности и в сфере удовлетворения спроса населения на товары и услуги, при этом: а)</w:t>
      </w:r>
      <w:r w:rsidR="00F12E7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поскольку соответствующий размер налога, в соответствии с действующим порядком определения стоимости продукции, приобретаемой по ГОЗ, будет включен в цену этой продукции, это приведет к увеличению стоимости оборонного заказа, финансируемого из бюджета Российской Федерации. Таким образом, налоговые доходы от налога на имущество организаций, поступившие в бюджет субъекта Российской Федерации, будут компенсироваться через механизм ценообразования государственного оборонного заказа из бюджета РФ, что, по сути, станет перераспределением бюджетных средств (с соответствующими затратами бюджета на реализацию и контроль этого решения), но в целом не приведет к увеличению консолидированных доходов бюджета страны; б) увеличение ценовой нагрузки на производителей товаров и услуг для населения всякий раз отражается </w:t>
      </w:r>
      <w:r>
        <w:rPr>
          <w:rFonts w:ascii="Times New Roman" w:hAnsi="Times New Roman"/>
          <w:sz w:val="28"/>
          <w:szCs w:val="28"/>
        </w:rPr>
        <w:lastRenderedPageBreak/>
        <w:t>увеличением цен на них для потребителей, ведя к росту  потребительской инфляции, усилению инфляционных ожиданий (что негативно, в свою очередь, отразится на настроениях населения, и без того непростых в условиях санкций и проведения СВО), падению покупательной способности населения и росту бедности и эскалации неравенства. Для компенсации данной проблемы, особенно сильно затрагивающей малоимущие слои населения, потребуется дополнительное финансирование социальной поддержки этих категорий граждан из бюджета, что также не приведет к повышению эффективности бюджетного процесса и увеличению доходов бюджета (скорее – наоборот); при этом за счет косвенных затрат значительная нагрузка ляжет  именно на бюджет соответствующего субъекта РФ.</w:t>
      </w:r>
    </w:p>
    <w:p w:rsidR="00A07596" w:rsidRDefault="00A07596" w:rsidP="00A0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Таким образом, даже предварительный обзор правовых, экономических, финансово-бюджетных и социальных последствий реализации предложения о переходе на исчисление налога на имущество организаций, исходя из кадастровой стоимости объектов налогообложения, при первоначально кажущейся привлекательности и простоте решения проблемы пополнению городского бюджета, в настоящее время не имеет экономического смысла, не обеспечивает в должной мере «фискальные интересы» Санкт-Петербурга, но может нанести существенный ущерб промышленному потенциалу Санкт-Петербурга и привести к ухудшению социально-экономического положения населения города.</w:t>
      </w:r>
    </w:p>
    <w:p w:rsidR="00A07596" w:rsidRDefault="00A07596" w:rsidP="00A075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Институт нового индустриального развития (ИНИР) им.</w:t>
      </w:r>
      <w:r w:rsidR="00F12E7A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С.Ю.Витте выражает готовность провести на договорных условиях с привлечением экспертов Р</w:t>
      </w:r>
      <w:r w:rsidR="00F12E7A">
        <w:rPr>
          <w:rFonts w:ascii="Times New Roman" w:hAnsi="Times New Roman"/>
          <w:sz w:val="28"/>
          <w:szCs w:val="28"/>
        </w:rPr>
        <w:t>оссийской академии наук</w:t>
      </w:r>
      <w:r>
        <w:rPr>
          <w:rFonts w:ascii="Times New Roman" w:hAnsi="Times New Roman"/>
          <w:sz w:val="28"/>
          <w:szCs w:val="28"/>
        </w:rPr>
        <w:t xml:space="preserve"> и В</w:t>
      </w:r>
      <w:r w:rsidR="00F12E7A">
        <w:rPr>
          <w:rFonts w:ascii="Times New Roman" w:hAnsi="Times New Roman"/>
          <w:sz w:val="28"/>
          <w:szCs w:val="28"/>
        </w:rPr>
        <w:t xml:space="preserve">ольного экономического общества </w:t>
      </w:r>
      <w:r>
        <w:rPr>
          <w:rFonts w:ascii="Times New Roman" w:hAnsi="Times New Roman"/>
          <w:sz w:val="28"/>
          <w:szCs w:val="28"/>
        </w:rPr>
        <w:t xml:space="preserve">России детальный анализ представленного предложения. </w:t>
      </w:r>
    </w:p>
    <w:p w:rsidR="00A07596" w:rsidRDefault="00A0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7596" w:rsidRDefault="00A075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0E31" w:rsidRDefault="00A40E31" w:rsidP="00A40E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E31" w:rsidRDefault="00A40E31" w:rsidP="00A40E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уважением,</w:t>
      </w:r>
    </w:p>
    <w:p w:rsidR="00A40E31" w:rsidRDefault="00A40E31" w:rsidP="00A40E3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21D4" w:rsidRDefault="00012E69" w:rsidP="00A07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89697881"/>
      <w:r>
        <w:rPr>
          <w:rFonts w:ascii="Times New Roman" w:hAnsi="Times New Roman"/>
          <w:b/>
          <w:bCs/>
          <w:sz w:val="28"/>
          <w:szCs w:val="28"/>
        </w:rPr>
        <w:t>Директор</w:t>
      </w:r>
      <w:r w:rsidR="001A1C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7596">
        <w:rPr>
          <w:rFonts w:ascii="Times New Roman" w:hAnsi="Times New Roman"/>
          <w:b/>
          <w:bCs/>
          <w:sz w:val="28"/>
          <w:szCs w:val="28"/>
        </w:rPr>
        <w:t>ИНИР им. С.Ю.Витте,</w:t>
      </w:r>
    </w:p>
    <w:p w:rsidR="004D21D4" w:rsidRDefault="00A07596" w:rsidP="00A07596">
      <w:pPr>
        <w:spacing w:after="0"/>
      </w:pPr>
      <w:r>
        <w:rPr>
          <w:rFonts w:ascii="Times New Roman" w:hAnsi="Times New Roman"/>
          <w:b/>
          <w:bCs/>
          <w:sz w:val="28"/>
          <w:szCs w:val="28"/>
        </w:rPr>
        <w:t xml:space="preserve">д.э.н., чл.-корр.  РАН </w:t>
      </w:r>
      <w:r w:rsidR="00012E69">
        <w:rPr>
          <w:rFonts w:ascii="Times New Roman" w:hAnsi="Times New Roman"/>
          <w:b/>
          <w:bCs/>
          <w:sz w:val="28"/>
          <w:szCs w:val="28"/>
        </w:rPr>
        <w:t>С.Д. Бодрунов</w:t>
      </w:r>
      <w:bookmarkEnd w:id="1"/>
    </w:p>
    <w:sectPr w:rsidR="004D21D4" w:rsidSect="00A40E31">
      <w:headerReference w:type="default" r:id="rId8"/>
      <w:footerReference w:type="default" r:id="rId9"/>
      <w:pgSz w:w="11900" w:h="16840"/>
      <w:pgMar w:top="709" w:right="851" w:bottom="567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EC" w:rsidRDefault="004357EC">
      <w:pPr>
        <w:spacing w:after="0" w:line="240" w:lineRule="auto"/>
      </w:pPr>
      <w:r>
        <w:separator/>
      </w:r>
    </w:p>
  </w:endnote>
  <w:endnote w:type="continuationSeparator" w:id="1">
    <w:p w:rsidR="004357EC" w:rsidRDefault="0043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1D4" w:rsidRDefault="004D21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EC" w:rsidRDefault="004357EC">
      <w:pPr>
        <w:spacing w:after="0" w:line="240" w:lineRule="auto"/>
      </w:pPr>
      <w:r>
        <w:separator/>
      </w:r>
    </w:p>
  </w:footnote>
  <w:footnote w:type="continuationSeparator" w:id="1">
    <w:p w:rsidR="004357EC" w:rsidRDefault="0043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1D4" w:rsidRDefault="004D21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6B8"/>
    <w:multiLevelType w:val="hybridMultilevel"/>
    <w:tmpl w:val="7D3E0FB4"/>
    <w:numStyleLink w:val="1"/>
  </w:abstractNum>
  <w:abstractNum w:abstractNumId="1">
    <w:nsid w:val="36C73541"/>
    <w:multiLevelType w:val="hybridMultilevel"/>
    <w:tmpl w:val="7D3E0FB4"/>
    <w:styleLink w:val="1"/>
    <w:lvl w:ilvl="0" w:tplc="C80AE548">
      <w:start w:val="1"/>
      <w:numFmt w:val="decimal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EDEB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64BBD6">
      <w:start w:val="1"/>
      <w:numFmt w:val="lowerRoman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AC8D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0CB5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76E682">
      <w:start w:val="1"/>
      <w:numFmt w:val="lowerRoman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4219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4F9CA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AC0E56">
      <w:start w:val="1"/>
      <w:numFmt w:val="lowerRoman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1D4"/>
    <w:rsid w:val="00012E69"/>
    <w:rsid w:val="001A1CC6"/>
    <w:rsid w:val="004357EC"/>
    <w:rsid w:val="004D21D4"/>
    <w:rsid w:val="005619AA"/>
    <w:rsid w:val="007C1C19"/>
    <w:rsid w:val="0081010B"/>
    <w:rsid w:val="00951BCF"/>
    <w:rsid w:val="009E1D2D"/>
    <w:rsid w:val="00A07596"/>
    <w:rsid w:val="00A40E31"/>
    <w:rsid w:val="00B80361"/>
    <w:rsid w:val="00EA2E38"/>
    <w:rsid w:val="00F1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9A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19AA"/>
    <w:rPr>
      <w:u w:val="single"/>
    </w:rPr>
  </w:style>
  <w:style w:type="table" w:customStyle="1" w:styleId="TableNormal">
    <w:name w:val="Table Normal"/>
    <w:rsid w:val="005619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19A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rsid w:val="00A07596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1">
    <w:name w:val="Импортированный стиль 1"/>
    <w:rsid w:val="00A07596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1A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CC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2023-06-25T07:24:00Z</dcterms:created>
  <dcterms:modified xsi:type="dcterms:W3CDTF">2023-07-03T07:41:00Z</dcterms:modified>
</cp:coreProperties>
</file>